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jc w:val="center"/>
        <w:rPr>
          <w:rFonts w:ascii="Carlito " w:hAnsi="Carlito "/>
          <w:sz w:val="24"/>
          <w:szCs w:val="24"/>
        </w:rPr>
      </w:pPr>
      <w:r>
        <w:rPr>
          <w:rFonts w:ascii="Calibri" w:hAnsi="Calibri"/>
          <w:b/>
          <w:i w:val="false"/>
          <w:iCs w:val="false"/>
          <w:color w:val="000000"/>
          <w:sz w:val="24"/>
          <w:szCs w:val="24"/>
        </w:rPr>
        <w:t>BATALHÃO DE OPERAÇÕES ESPECIAIS DE FUZILEIROS NAVAIS</w:t>
      </w:r>
    </w:p>
    <w:p>
      <w:pPr>
        <w:pStyle w:val="Normal"/>
        <w:spacing w:lineRule="auto" w:line="276"/>
        <w:jc w:val="center"/>
        <w:rPr>
          <w:rFonts w:ascii="Calibri" w:hAnsi="Calibri"/>
          <w:sz w:val="24"/>
          <w:szCs w:val="24"/>
        </w:rPr>
      </w:pPr>
      <w:r>
        <w:rPr>
          <w:rFonts w:ascii="Calibri" w:hAnsi="Calibri"/>
          <w:b/>
          <w:i w:val="false"/>
          <w:iCs w:val="false"/>
          <w:color w:val="000000"/>
          <w:sz w:val="24"/>
          <w:szCs w:val="24"/>
        </w:rPr>
        <w:t xml:space="preserve">AVISO DE DISPENSA ELETRÔNICA Nº </w:t>
      </w:r>
      <w:r>
        <w:rPr>
          <w:rFonts w:ascii="Calibri" w:hAnsi="Calibri"/>
          <w:b/>
          <w:i w:val="false"/>
          <w:iCs w:val="false"/>
          <w:color w:val="000000"/>
          <w:sz w:val="24"/>
          <w:szCs w:val="24"/>
        </w:rPr>
        <w:t>90063</w:t>
      </w:r>
      <w:r>
        <w:rPr>
          <w:rFonts w:ascii="Calibri" w:hAnsi="Calibri"/>
          <w:b/>
          <w:i w:val="false"/>
          <w:iCs w:val="false"/>
          <w:color w:val="000000"/>
          <w:sz w:val="24"/>
          <w:szCs w:val="24"/>
        </w:rPr>
        <w:t>/202</w:t>
      </w:r>
      <w:r>
        <w:rPr>
          <w:rFonts w:ascii="Calibri" w:hAnsi="Calibri"/>
          <w:b/>
          <w:i w:val="false"/>
          <w:iCs w:val="false"/>
          <w:color w:val="000000"/>
          <w:sz w:val="24"/>
          <w:szCs w:val="24"/>
        </w:rPr>
        <w:t>4</w:t>
      </w:r>
    </w:p>
    <w:p>
      <w:pPr>
        <w:pStyle w:val="Normal"/>
        <w:spacing w:lineRule="auto" w:line="276" w:before="0" w:after="120"/>
        <w:ind w:right="-15" w:hanging="0"/>
        <w:jc w:val="center"/>
        <w:rPr/>
      </w:pPr>
      <w:r>
        <w:rPr>
          <w:rFonts w:ascii="Calibri" w:hAnsi="Calibri"/>
          <w:b/>
          <w:i w:val="false"/>
          <w:iCs w:val="false"/>
          <w:color w:val="000000"/>
          <w:sz w:val="24"/>
          <w:szCs w:val="24"/>
        </w:rPr>
        <w:t>(Processo Administrativo n.</w:t>
      </w:r>
      <w:r>
        <w:rPr>
          <w:rStyle w:val="Nfaseforte"/>
          <w:rFonts w:eastAsia="Arial" w:cs="Arial" w:ascii="Calibri" w:hAnsi="Calibri"/>
          <w:b/>
          <w:bCs/>
          <w:i w:val="false"/>
          <w:iCs w:val="false"/>
          <w:color w:val="000000"/>
          <w:sz w:val="24"/>
          <w:szCs w:val="24"/>
          <w:lang w:eastAsia="ar-SA"/>
        </w:rPr>
        <w:t>°</w:t>
      </w:r>
      <w:r>
        <w:rPr>
          <w:rStyle w:val="Nfaseforte"/>
          <w:rFonts w:eastAsia="Times New Roman" w:cs="Arial" w:ascii="Calibri" w:hAnsi="Calibri"/>
          <w:b/>
          <w:bCs/>
          <w:i w:val="false"/>
          <w:iCs w:val="false"/>
          <w:color w:val="000000"/>
          <w:kern w:val="0"/>
          <w:sz w:val="24"/>
          <w:szCs w:val="24"/>
          <w:shd w:fill="auto" w:val="clear"/>
          <w:lang w:val="pt-BR" w:eastAsia="pt-BR" w:bidi="ar-SA"/>
        </w:rPr>
        <w:t xml:space="preserve"> </w:t>
      </w:r>
      <w:r>
        <w:rPr>
          <w:rStyle w:val="Nfaseforte"/>
          <w:rFonts w:eastAsia="Times New Roman" w:cs="Arial" w:ascii="Calibri" w:hAnsi="Calibri"/>
          <w:i w:val="false"/>
          <w:iCs w:val="false"/>
          <w:color w:val="000000"/>
          <w:kern w:val="0"/>
          <w:sz w:val="24"/>
          <w:szCs w:val="24"/>
          <w:shd w:fill="auto" w:val="clear"/>
          <w:lang w:val="pt-BR" w:eastAsia="pt-BR" w:bidi="ar-SA"/>
        </w:rPr>
        <w:t xml:space="preserve">63430.002051/2024-10 </w:t>
      </w:r>
      <w:r>
        <w:rPr>
          <w:rStyle w:val="Nfaseforte"/>
          <w:rFonts w:eastAsia="Times New Roman" w:cs="Arial" w:ascii="Calibri" w:hAnsi="Calibri"/>
          <w:i w:val="false"/>
          <w:iCs w:val="false"/>
          <w:color w:val="000000"/>
          <w:kern w:val="0"/>
          <w:sz w:val="24"/>
          <w:szCs w:val="24"/>
          <w:shd w:fill="auto" w:val="clear"/>
          <w:lang w:val="pt-BR" w:eastAsia="pt-BR" w:bidi="ar-SA"/>
        </w:rPr>
        <w:t>)</w:t>
      </w:r>
    </w:p>
    <w:p>
      <w:pPr>
        <w:pStyle w:val="Normal"/>
        <w:jc w:val="both"/>
        <w:rPr>
          <w:rFonts w:ascii="Calibri" w:hAnsi="Calibri"/>
          <w:i w:val="false"/>
          <w:i w:val="false"/>
          <w:iCs w:val="false"/>
          <w:sz w:val="24"/>
          <w:szCs w:val="24"/>
        </w:rPr>
      </w:pPr>
      <w:r>
        <w:rPr>
          <w:rFonts w:ascii="Calibri" w:hAnsi="Calibri"/>
          <w:i w:val="false"/>
          <w:iCs w:val="false"/>
          <w:sz w:val="24"/>
          <w:szCs w:val="24"/>
        </w:rPr>
      </w:r>
    </w:p>
    <w:p>
      <w:pPr>
        <w:pStyle w:val="Normal"/>
        <w:spacing w:lineRule="auto" w:line="276" w:before="0" w:after="120"/>
        <w:ind w:right="-30" w:firstLine="540"/>
        <w:jc w:val="both"/>
        <w:rPr>
          <w:rFonts w:ascii="Carlito " w:hAnsi="Carlito "/>
          <w:sz w:val="24"/>
          <w:szCs w:val="24"/>
        </w:rPr>
      </w:pPr>
      <w:r>
        <w:rPr>
          <w:rFonts w:ascii="Calibri" w:hAnsi="Calibri"/>
          <w:i w:val="false"/>
          <w:iCs w:val="false"/>
          <w:color w:val="000000"/>
          <w:sz w:val="24"/>
          <w:szCs w:val="24"/>
        </w:rPr>
        <w:t>Torna-se público que o Batalhão de Operações Especiais de Fuzileiros Navais, por meio do Setor de obtenção, realizará Dispensa Eletrônica, com critério de julgamento</w:t>
      </w:r>
      <w:r>
        <w:rPr>
          <w:rFonts w:ascii="Calibri" w:hAnsi="Calibri"/>
          <w:b/>
          <w:i w:val="false"/>
          <w:iCs w:val="false"/>
          <w:color w:val="000000"/>
          <w:sz w:val="24"/>
          <w:szCs w:val="24"/>
        </w:rPr>
        <w:t xml:space="preserve"> </w:t>
      </w:r>
      <w:r>
        <w:rPr>
          <w:rFonts w:ascii="Calibri" w:hAnsi="Calibri"/>
          <w:b w:val="false"/>
          <w:bCs w:val="false"/>
          <w:i w:val="false"/>
          <w:iCs w:val="false"/>
          <w:color w:val="000000"/>
          <w:sz w:val="24"/>
          <w:szCs w:val="24"/>
        </w:rPr>
        <w:t>menor preço,</w:t>
      </w:r>
      <w:r>
        <w:rPr>
          <w:rFonts w:ascii="Calibri" w:hAnsi="Calibri"/>
          <w:b/>
          <w:i w:val="false"/>
          <w:iCs w:val="false"/>
          <w:color w:val="000000"/>
          <w:sz w:val="24"/>
          <w:szCs w:val="24"/>
        </w:rPr>
        <w:t xml:space="preserve"> </w:t>
      </w:r>
      <w:r>
        <w:rPr>
          <w:rFonts w:ascii="Calibri" w:hAnsi="Calibri"/>
          <w:i w:val="false"/>
          <w:iCs w:val="false"/>
          <w:color w:val="000000"/>
          <w:sz w:val="24"/>
          <w:szCs w:val="24"/>
        </w:rPr>
        <w:t>na hipótese do art. 75, inciso</w:t>
      </w:r>
      <w:r>
        <w:rPr>
          <w:rFonts w:ascii="Calibri" w:hAnsi="Calibri"/>
          <w:b/>
          <w:i w:val="false"/>
          <w:iCs w:val="false"/>
          <w:color w:val="000000"/>
          <w:sz w:val="24"/>
          <w:szCs w:val="24"/>
        </w:rPr>
        <w:t xml:space="preserve"> II</w:t>
      </w:r>
      <w:r>
        <w:rPr>
          <w:rFonts w:ascii="Calibri" w:hAnsi="Calibri"/>
          <w:i w:val="false"/>
          <w:iCs w:val="false"/>
          <w:color w:val="000000"/>
          <w:sz w:val="24"/>
          <w:szCs w:val="24"/>
        </w:rPr>
        <w:t>,</w:t>
      </w:r>
      <w:r>
        <w:rPr>
          <w:rFonts w:ascii="Calibri" w:hAnsi="Calibri"/>
          <w:i w:val="false"/>
          <w:iCs w:val="false"/>
          <w:color w:val="FF0000"/>
          <w:sz w:val="24"/>
          <w:szCs w:val="24"/>
        </w:rPr>
        <w:t xml:space="preserve"> </w:t>
      </w:r>
      <w:r>
        <w:rPr>
          <w:rFonts w:ascii="Calibri" w:hAnsi="Calibri"/>
          <w:i w:val="false"/>
          <w:iCs w:val="false"/>
          <w:sz w:val="24"/>
          <w:szCs w:val="24"/>
        </w:rPr>
        <w:t>nos termos da Lei nº 14.133, de 1º de abril de 2021, da Instrução Normativa SEGES/ME nº 67/2021 e demais legislação aplicável</w:t>
      </w:r>
      <w:r>
        <w:rPr>
          <w:rFonts w:ascii="Calibri" w:hAnsi="Calibri"/>
          <w:i w:val="false"/>
          <w:iCs w:val="false"/>
          <w:color w:val="000000"/>
          <w:sz w:val="24"/>
          <w:szCs w:val="24"/>
        </w:rPr>
        <w:t>.</w:t>
      </w:r>
    </w:p>
    <w:p>
      <w:pPr>
        <w:pStyle w:val="Normal"/>
        <w:spacing w:lineRule="auto" w:line="276"/>
        <w:jc w:val="both"/>
        <w:rPr>
          <w:rFonts w:ascii="Calibri" w:hAnsi="Calibri"/>
          <w:i w:val="false"/>
          <w:i w:val="false"/>
          <w:iCs w:val="false"/>
          <w:color w:val="000000"/>
          <w:sz w:val="24"/>
          <w:szCs w:val="24"/>
        </w:rPr>
      </w:pPr>
      <w:r>
        <w:rPr>
          <w:rFonts w:ascii="Calibri" w:hAnsi="Calibri"/>
          <w:i w:val="false"/>
          <w:iCs w:val="false"/>
          <w:color w:val="000000"/>
          <w:sz w:val="24"/>
          <w:szCs w:val="24"/>
        </w:rPr>
      </w:r>
    </w:p>
    <w:p>
      <w:pPr>
        <w:pStyle w:val="Normal"/>
        <w:spacing w:lineRule="auto" w:line="276"/>
        <w:jc w:val="both"/>
        <w:rPr>
          <w:rFonts w:ascii="Carlito " w:hAnsi="Carlito "/>
          <w:sz w:val="24"/>
          <w:szCs w:val="24"/>
        </w:rPr>
      </w:pPr>
      <w:r>
        <w:rPr>
          <w:rFonts w:ascii="Calibri" w:hAnsi="Calibri"/>
          <w:i w:val="false"/>
          <w:iCs w:val="false"/>
          <w:color w:val="000000"/>
          <w:sz w:val="24"/>
          <w:szCs w:val="24"/>
        </w:rPr>
        <w:t>Data da sessão:         /         /202</w:t>
      </w:r>
      <w:r>
        <w:rPr>
          <w:rFonts w:ascii="Calibri" w:hAnsi="Calibri"/>
          <w:i w:val="false"/>
          <w:iCs w:val="false"/>
          <w:color w:val="000000"/>
          <w:sz w:val="24"/>
          <w:szCs w:val="24"/>
        </w:rPr>
        <w:t>4</w:t>
      </w:r>
    </w:p>
    <w:p>
      <w:pPr>
        <w:pStyle w:val="Normal"/>
        <w:jc w:val="both"/>
        <w:rPr>
          <w:rFonts w:ascii="Carlito " w:hAnsi="Carlito "/>
          <w:sz w:val="24"/>
          <w:szCs w:val="24"/>
        </w:rPr>
      </w:pPr>
      <w:r>
        <w:rPr>
          <w:rFonts w:ascii="Calibri" w:hAnsi="Calibri"/>
          <w:i w:val="false"/>
          <w:iCs w:val="false"/>
          <w:color w:val="000000"/>
          <w:sz w:val="24"/>
          <w:szCs w:val="24"/>
        </w:rPr>
        <w:t>Link: https://www.comprasnet.gov.br/seguro/loginPortal.asp</w:t>
      </w:r>
    </w:p>
    <w:p>
      <w:pPr>
        <w:pStyle w:val="Normal"/>
        <w:jc w:val="both"/>
        <w:rPr>
          <w:rFonts w:ascii="Calibri" w:hAnsi="Calibri"/>
          <w:i w:val="false"/>
          <w:i w:val="false"/>
          <w:iCs w:val="false"/>
          <w:sz w:val="24"/>
          <w:szCs w:val="24"/>
        </w:rPr>
      </w:pPr>
      <w:r>
        <w:rPr>
          <w:rFonts w:ascii="Calibri" w:hAnsi="Calibri"/>
          <w:i w:val="false"/>
          <w:iCs w:val="false"/>
          <w:sz w:val="24"/>
          <w:szCs w:val="24"/>
        </w:rPr>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libri" w:hAnsi="Calibri"/>
          <w:b/>
          <w:i w:val="false"/>
          <w:iCs w:val="false"/>
          <w:caps w:val="false"/>
          <w:smallCaps w:val="false"/>
          <w:strike w:val="false"/>
          <w:dstrike w:val="false"/>
          <w:color w:val="000000"/>
          <w:position w:val="0"/>
          <w:sz w:val="24"/>
          <w:sz w:val="24"/>
          <w:szCs w:val="24"/>
          <w:u w:val="none"/>
          <w:shd w:fill="FFFFFF" w:val="clear"/>
          <w:vertAlign w:val="baseline"/>
        </w:rPr>
        <w:t>OBJETO DA CONTRATAÇÃO DIRETA</w:t>
      </w:r>
    </w:p>
    <w:p>
      <w:pPr>
        <w:pStyle w:val="Normal"/>
        <w:keepNext w:val="true"/>
        <w:keepLines w:val="false"/>
        <w:widowControl/>
        <w:numPr>
          <w:ilvl w:val="1"/>
          <w:numId w:val="3"/>
        </w:numPr>
        <w:shd w:val="clear" w:fill="auto"/>
        <w:spacing w:lineRule="auto" w:line="276" w:before="120" w:after="120"/>
        <w:jc w:val="both"/>
        <w:rPr>
          <w:rFonts w:ascii="Calibri" w:hAnsi="Calibri"/>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 xml:space="preserve">O objeto da presente dispensa é a escolha da proposta mais vantajosa para a aquisição, por dispensa de licitação, </w:t>
      </w:r>
      <w:r>
        <w:rPr>
          <w:rFonts w:eastAsia="Arial" w:cs="Arial" w:ascii="Calibri" w:hAnsi="Calibri"/>
          <w:b w:val="false"/>
          <w:i w:val="false"/>
          <w:iCs w:val="false"/>
          <w:caps w:val="false"/>
          <w:smallCaps w:val="false"/>
          <w:strike w:val="false"/>
          <w:dstrike w:val="false"/>
          <w:color w:val="000000"/>
          <w:position w:val="0"/>
          <w:sz w:val="24"/>
          <w:sz w:val="24"/>
          <w:szCs w:val="24"/>
          <w:highlight w:val="white"/>
          <w:u w:val="none"/>
          <w:vertAlign w:val="baseline"/>
        </w:rPr>
        <w:t>de s</w:t>
      </w:r>
      <w:r>
        <w:rPr>
          <w:rFonts w:eastAsia="Arial" w:cs="Arial" w:ascii="Calibri" w:hAnsi="Calibri"/>
          <w:b w:val="false"/>
          <w:bCs w:val="false"/>
          <w:i w:val="false"/>
          <w:iCs w:val="false"/>
          <w:caps w:val="false"/>
          <w:smallCaps w:val="false"/>
          <w:strike w:val="false"/>
          <w:dstrike w:val="false"/>
          <w:color w:val="000000"/>
          <w:position w:val="0"/>
          <w:sz w:val="24"/>
          <w:sz w:val="24"/>
          <w:szCs w:val="24"/>
          <w:highlight w:val="white"/>
          <w:u w:val="none"/>
          <w:vertAlign w:val="baseline"/>
        </w:rPr>
        <w:t>erviço avançado para 10 comunicadores satelitais bidirecional com bluetooth – SPOT X</w:t>
      </w:r>
      <w:r>
        <w:rPr>
          <w:rFonts w:eastAsia="Arial" w:cs="Arial" w:ascii="Calibri" w:hAnsi="Calibri"/>
          <w:b/>
          <w:i w:val="false"/>
          <w:iCs w:val="false"/>
          <w:caps w:val="false"/>
          <w:smallCaps w:val="false"/>
          <w:strike w:val="false"/>
          <w:dstrike w:val="false"/>
          <w:color w:val="000000"/>
          <w:position w:val="0"/>
          <w:sz w:val="24"/>
          <w:sz w:val="24"/>
          <w:szCs w:val="24"/>
          <w:highlight w:val="white"/>
          <w:u w:val="none"/>
          <w:vertAlign w:val="baseline"/>
        </w:rPr>
        <w:t>,</w:t>
      </w: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 xml:space="preserve"> conforme condições, quantidades e exigências estabelecidas neste Aviso de Contratação Direta e seus anexos.</w:t>
      </w:r>
    </w:p>
    <w:p>
      <w:pPr>
        <w:pStyle w:val="Normal"/>
        <w:keepNext w:val="true"/>
        <w:keepLines w:val="false"/>
        <w:widowControl/>
        <w:numPr>
          <w:ilvl w:val="1"/>
          <w:numId w:val="3"/>
        </w:numPr>
        <w:shd w:val="clear" w:fill="auto"/>
        <w:spacing w:lineRule="auto" w:line="276" w:before="120" w:after="120"/>
        <w:ind w:left="792" w:right="0" w:hanging="432"/>
        <w:jc w:val="both"/>
        <w:rPr>
          <w:rFonts w:ascii="Carlito" w:hAnsi="Carlito"/>
          <w:sz w:val="16"/>
          <w:szCs w:val="16"/>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A contratação será dividida em itens</w:t>
      </w:r>
      <w:r>
        <w:rPr>
          <w:rFonts w:eastAsia="Arial" w:cs="Arial" w:ascii="Calibri" w:hAnsi="Calibri"/>
          <w:b/>
          <w:i w:val="false"/>
          <w:iCs w:val="false"/>
          <w:caps w:val="false"/>
          <w:smallCaps w:val="false"/>
          <w:strike w:val="false"/>
          <w:dstrike w:val="false"/>
          <w:color w:val="000000"/>
          <w:position w:val="0"/>
          <w:sz w:val="24"/>
          <w:sz w:val="24"/>
          <w:szCs w:val="24"/>
          <w:u w:val="none"/>
          <w:shd w:fill="FFFFFF" w:val="clear"/>
          <w:vertAlign w:val="baseline"/>
        </w:rPr>
        <w:t>,</w:t>
      </w: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 xml:space="preserve"> conforme tabela constante abaixo.</w:t>
      </w:r>
    </w:p>
    <w:tbl>
      <w:tblPr>
        <w:tblStyle w:val="Table1"/>
        <w:tblW w:w="9690" w:type="dxa"/>
        <w:jc w:val="left"/>
        <w:tblInd w:w="-517" w:type="dxa"/>
        <w:tblLayout w:type="fixed"/>
        <w:tblCellMar>
          <w:top w:w="0" w:type="dxa"/>
          <w:left w:w="53" w:type="dxa"/>
          <w:bottom w:w="0" w:type="dxa"/>
          <w:right w:w="108" w:type="dxa"/>
        </w:tblCellMar>
        <w:tblLook w:val="0400"/>
      </w:tblPr>
      <w:tblGrid>
        <w:gridCol w:w="700"/>
        <w:gridCol w:w="2017"/>
        <w:gridCol w:w="1417"/>
        <w:gridCol w:w="1185"/>
        <w:gridCol w:w="916"/>
        <w:gridCol w:w="1185"/>
        <w:gridCol w:w="2553"/>
      </w:tblGrid>
      <w:tr>
        <w:trPr/>
        <w:tc>
          <w:tcPr>
            <w:tcW w:w="700"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rFonts w:ascii="Carlito " w:hAnsi="Carlito "/>
                <w:sz w:val="24"/>
                <w:szCs w:val="24"/>
              </w:rPr>
            </w:pPr>
            <w:r>
              <w:rPr>
                <w:rFonts w:ascii="Calibri" w:hAnsi="Calibri"/>
                <w:b/>
                <w:i w:val="false"/>
                <w:iCs w:val="false"/>
                <w:color w:val="000000"/>
                <w:sz w:val="16"/>
                <w:szCs w:val="16"/>
              </w:rPr>
              <w:t>ITEM</w:t>
            </w:r>
          </w:p>
          <w:p>
            <w:pPr>
              <w:pStyle w:val="Normal"/>
              <w:widowControl w:val="false"/>
              <w:jc w:val="both"/>
              <w:rPr>
                <w:rFonts w:ascii="Calibri" w:hAnsi="Calibri"/>
                <w:b/>
                <w:b/>
                <w:i w:val="false"/>
                <w:i w:val="false"/>
                <w:iCs w:val="false"/>
                <w:color w:val="000000"/>
                <w:sz w:val="16"/>
                <w:szCs w:val="16"/>
              </w:rPr>
            </w:pPr>
            <w:r>
              <w:rPr>
                <w:rFonts w:ascii="Calibri" w:hAnsi="Calibri"/>
                <w:b/>
                <w:i w:val="false"/>
                <w:iCs w:val="false"/>
                <w:color w:val="000000"/>
                <w:sz w:val="16"/>
                <w:szCs w:val="16"/>
              </w:rPr>
            </w:r>
          </w:p>
        </w:tc>
        <w:tc>
          <w:tcPr>
            <w:tcW w:w="2017"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rFonts w:ascii="Carlito " w:hAnsi="Carlito "/>
                <w:sz w:val="24"/>
                <w:szCs w:val="24"/>
              </w:rPr>
            </w:pPr>
            <w:r>
              <w:rPr>
                <w:rFonts w:ascii="Calibri" w:hAnsi="Calibri"/>
                <w:b/>
                <w:i w:val="false"/>
                <w:iCs w:val="false"/>
                <w:color w:val="000000"/>
                <w:sz w:val="16"/>
                <w:szCs w:val="16"/>
              </w:rPr>
              <w:t>DESCRIÇÃO/</w:t>
            </w:r>
          </w:p>
          <w:p>
            <w:pPr>
              <w:pStyle w:val="Normal"/>
              <w:widowControl w:val="false"/>
              <w:jc w:val="both"/>
              <w:rPr>
                <w:rFonts w:ascii="Carlito " w:hAnsi="Carlito "/>
                <w:sz w:val="24"/>
                <w:szCs w:val="24"/>
              </w:rPr>
            </w:pPr>
            <w:r>
              <w:rPr>
                <w:rFonts w:ascii="Calibri" w:hAnsi="Calibri"/>
                <w:b/>
                <w:i w:val="false"/>
                <w:iCs w:val="false"/>
                <w:color w:val="000000"/>
                <w:sz w:val="16"/>
                <w:szCs w:val="16"/>
              </w:rPr>
              <w:t>ESPECIFICAÇÃO</w:t>
            </w:r>
          </w:p>
        </w:tc>
        <w:tc>
          <w:tcPr>
            <w:tcW w:w="1417" w:type="dxa"/>
            <w:tcBorders>
              <w:top w:val="single" w:sz="4" w:space="0" w:color="000001"/>
              <w:left w:val="single" w:sz="4" w:space="0" w:color="000001"/>
              <w:bottom w:val="single" w:sz="4" w:space="0" w:color="000001"/>
              <w:right w:val="single" w:sz="4" w:space="0" w:color="000001"/>
            </w:tcBorders>
            <w:shd w:fill="auto" w:val="clear"/>
          </w:tcPr>
          <w:p>
            <w:pPr>
              <w:pStyle w:val="Default"/>
              <w:widowControl w:val="false"/>
              <w:jc w:val="both"/>
              <w:rPr>
                <w:rFonts w:ascii="Carlito " w:hAnsi="Carlito "/>
                <w:sz w:val="24"/>
                <w:szCs w:val="24"/>
              </w:rPr>
            </w:pPr>
            <w:r>
              <w:rPr>
                <w:rFonts w:ascii="Calibri" w:hAnsi="Calibri"/>
                <w:b/>
                <w:bCs/>
                <w:i w:val="false"/>
                <w:iCs w:val="false"/>
                <w:sz w:val="16"/>
                <w:szCs w:val="16"/>
              </w:rPr>
              <w:t>CATMAT/</w:t>
            </w:r>
          </w:p>
          <w:p>
            <w:pPr>
              <w:pStyle w:val="Default"/>
              <w:widowControl w:val="false"/>
              <w:jc w:val="both"/>
              <w:rPr>
                <w:rFonts w:ascii="Carlito " w:hAnsi="Carlito "/>
                <w:sz w:val="24"/>
                <w:szCs w:val="24"/>
              </w:rPr>
            </w:pPr>
            <w:r>
              <w:rPr>
                <w:rFonts w:ascii="Calibri" w:hAnsi="Calibri"/>
                <w:b/>
                <w:bCs/>
                <w:i w:val="false"/>
                <w:iCs w:val="false"/>
                <w:color w:val="000000"/>
                <w:sz w:val="16"/>
                <w:szCs w:val="16"/>
              </w:rPr>
              <w:t>CATSER</w:t>
            </w:r>
          </w:p>
        </w:tc>
        <w:tc>
          <w:tcPr>
            <w:tcW w:w="118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rFonts w:ascii="Carlito " w:hAnsi="Carlito "/>
                <w:sz w:val="24"/>
                <w:szCs w:val="24"/>
              </w:rPr>
            </w:pPr>
            <w:r>
              <w:rPr>
                <w:rFonts w:ascii="Calibri" w:hAnsi="Calibri"/>
                <w:b/>
                <w:i w:val="false"/>
                <w:iCs w:val="false"/>
                <w:color w:val="000000"/>
                <w:sz w:val="16"/>
                <w:szCs w:val="16"/>
              </w:rPr>
              <w:t>UNIDADE DE MEDIDA</w:t>
            </w:r>
          </w:p>
        </w:tc>
        <w:tc>
          <w:tcPr>
            <w:tcW w:w="916"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rFonts w:ascii="Carlito " w:hAnsi="Carlito "/>
                <w:sz w:val="24"/>
                <w:szCs w:val="24"/>
              </w:rPr>
            </w:pPr>
            <w:r>
              <w:rPr>
                <w:rFonts w:ascii="Calibri" w:hAnsi="Calibri"/>
                <w:b/>
                <w:i w:val="false"/>
                <w:iCs w:val="false"/>
                <w:color w:val="000000"/>
                <w:sz w:val="16"/>
                <w:szCs w:val="16"/>
              </w:rPr>
              <w:t>QUANT.</w:t>
            </w:r>
          </w:p>
        </w:tc>
        <w:tc>
          <w:tcPr>
            <w:tcW w:w="118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rFonts w:ascii="Carlito " w:hAnsi="Carlito "/>
                <w:sz w:val="24"/>
                <w:szCs w:val="24"/>
              </w:rPr>
            </w:pPr>
            <w:r>
              <w:rPr>
                <w:rFonts w:ascii="Calibri" w:hAnsi="Calibri"/>
                <w:b/>
                <w:bCs/>
                <w:i w:val="false"/>
                <w:iCs w:val="false"/>
                <w:sz w:val="16"/>
                <w:szCs w:val="16"/>
              </w:rPr>
              <w:t>PREÇO ESTIMADO UNITÁRIO</w:t>
            </w:r>
          </w:p>
        </w:tc>
        <w:tc>
          <w:tcPr>
            <w:tcW w:w="2553"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rFonts w:ascii="Carlito " w:hAnsi="Carlito "/>
                <w:sz w:val="24"/>
                <w:szCs w:val="24"/>
              </w:rPr>
            </w:pPr>
            <w:r>
              <w:rPr>
                <w:rFonts w:ascii="Calibri" w:hAnsi="Calibri"/>
                <w:b/>
                <w:i w:val="false"/>
                <w:iCs w:val="false"/>
                <w:color w:val="000000"/>
                <w:sz w:val="16"/>
                <w:szCs w:val="16"/>
              </w:rPr>
              <w:t>PREÇO ESTIMADO TOTAL</w:t>
            </w:r>
          </w:p>
        </w:tc>
      </w:tr>
      <w:tr>
        <w:trPr>
          <w:trHeight w:val="1055" w:hRule="atLeast"/>
        </w:trPr>
        <w:tc>
          <w:tcPr>
            <w:tcW w:w="700" w:type="dxa"/>
            <w:tcBorders>
              <w:top w:val="single" w:sz="4" w:space="0" w:color="000001"/>
              <w:left w:val="single" w:sz="4" w:space="0" w:color="000001"/>
              <w:bottom w:val="single" w:sz="4" w:space="0" w:color="000001"/>
              <w:right w:val="single" w:sz="4" w:space="0" w:color="000001"/>
            </w:tcBorders>
            <w:shd w:fill="auto" w:val="clear"/>
            <w:vAlign w:val="center"/>
          </w:tcPr>
          <w:p>
            <w:pPr>
              <w:pStyle w:val="Default"/>
              <w:widowControl w:val="false"/>
              <w:jc w:val="center"/>
              <w:rPr>
                <w:rFonts w:ascii="Calibri" w:hAnsi="Calibri"/>
                <w:sz w:val="16"/>
                <w:szCs w:val="16"/>
              </w:rPr>
            </w:pPr>
            <w:r>
              <w:rPr>
                <w:rFonts w:ascii="Calibri" w:hAnsi="Calibri"/>
                <w:sz w:val="16"/>
                <w:szCs w:val="16"/>
              </w:rPr>
            </w:r>
          </w:p>
          <w:p>
            <w:pPr>
              <w:pStyle w:val="Default"/>
              <w:widowControl w:val="false"/>
              <w:jc w:val="center"/>
              <w:rPr>
                <w:rFonts w:ascii="Calibri" w:hAnsi="Calibri"/>
                <w:sz w:val="16"/>
                <w:szCs w:val="16"/>
              </w:rPr>
            </w:pPr>
            <w:r>
              <w:rPr>
                <w:rFonts w:ascii="Calibri" w:hAnsi="Calibri"/>
                <w:sz w:val="16"/>
                <w:szCs w:val="16"/>
              </w:rPr>
              <w:t>1</w:t>
            </w:r>
          </w:p>
        </w:tc>
        <w:tc>
          <w:tcPr>
            <w:tcW w:w="2017"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keepNext w:val="true"/>
              <w:keepLines w:val="false"/>
              <w:widowControl w:val="false"/>
              <w:tabs>
                <w:tab w:val="clear" w:pos="709"/>
                <w:tab w:val="left" w:pos="1843" w:leader="none"/>
              </w:tabs>
              <w:spacing w:lineRule="auto" w:line="276" w:before="120" w:after="120"/>
              <w:ind w:left="0" w:right="0" w:hanging="0"/>
              <w:jc w:val="both"/>
              <w:rPr>
                <w:rFonts w:ascii="Calibri" w:hAnsi="Calibri"/>
                <w:b w:val="false"/>
                <w:b w:val="false"/>
                <w:bCs w:val="false"/>
                <w:color w:val="000000"/>
                <w:sz w:val="16"/>
                <w:szCs w:val="16"/>
              </w:rPr>
            </w:pPr>
            <w:r>
              <w:rPr>
                <w:rFonts w:eastAsia="Arial" w:cs="Arial" w:ascii="Calibri" w:hAnsi="Calibri"/>
                <w:b w:val="false"/>
                <w:bCs w:val="false"/>
                <w:i w:val="false"/>
                <w:caps w:val="false"/>
                <w:smallCaps w:val="false"/>
                <w:strike w:val="false"/>
                <w:dstrike w:val="false"/>
                <w:color w:val="000000"/>
                <w:position w:val="0"/>
                <w:sz w:val="16"/>
                <w:sz w:val="16"/>
                <w:szCs w:val="16"/>
                <w:u w:val="none"/>
                <w:vertAlign w:val="baseline"/>
              </w:rPr>
              <w:t>Serviço avançado para 10 comunicadores satelitais bidirecional com bluetooth SPOT X, contendo:</w:t>
            </w:r>
          </w:p>
          <w:p>
            <w:pPr>
              <w:pStyle w:val="Normal"/>
              <w:widowControl w:val="false"/>
              <w:numPr>
                <w:ilvl w:val="0"/>
                <w:numId w:val="5"/>
              </w:numPr>
              <w:tabs>
                <w:tab w:val="clear" w:pos="709"/>
                <w:tab w:val="left" w:pos="1843" w:leader="none"/>
              </w:tabs>
              <w:spacing w:lineRule="auto" w:line="276" w:before="120" w:after="120"/>
              <w:jc w:val="both"/>
              <w:rPr>
                <w:rFonts w:ascii="Calibri" w:hAnsi="Calibri" w:eastAsia="Arial" w:cs="Arial"/>
                <w:b w:val="false"/>
                <w:b w:val="false"/>
                <w:bCs w:val="false"/>
                <w:i w:val="false"/>
                <w:i w:val="false"/>
                <w:caps w:val="false"/>
                <w:smallCaps w:val="false"/>
                <w:strike w:val="false"/>
                <w:dstrike w:val="false"/>
                <w:color w:val="000000"/>
                <w:position w:val="0"/>
                <w:sz w:val="16"/>
                <w:sz w:val="16"/>
                <w:szCs w:val="16"/>
                <w:u w:val="none"/>
                <w:vertAlign w:val="baseline"/>
              </w:rPr>
            </w:pPr>
            <w:r>
              <w:rPr>
                <w:rFonts w:eastAsia="Arial" w:cs="Arial" w:ascii="Calibri" w:hAnsi="Calibri"/>
                <w:b w:val="false"/>
                <w:bCs w:val="false"/>
                <w:i w:val="false"/>
                <w:caps w:val="false"/>
                <w:smallCaps w:val="false"/>
                <w:strike w:val="false"/>
                <w:dstrike w:val="false"/>
                <w:color w:val="000000"/>
                <w:position w:val="0"/>
                <w:sz w:val="16"/>
                <w:sz w:val="16"/>
                <w:szCs w:val="16"/>
                <w:u w:val="none"/>
                <w:vertAlign w:val="baseline"/>
              </w:rPr>
              <w:t xml:space="preserve"> </w:t>
            </w:r>
            <w:r>
              <w:rPr>
                <w:rFonts w:eastAsia="Arial" w:cs="Arial" w:ascii="Calibri" w:hAnsi="Calibri"/>
                <w:b w:val="false"/>
                <w:bCs w:val="false"/>
                <w:i w:val="false"/>
                <w:caps w:val="false"/>
                <w:smallCaps w:val="false"/>
                <w:strike w:val="false"/>
                <w:dstrike w:val="false"/>
                <w:color w:val="000000"/>
                <w:position w:val="0"/>
                <w:sz w:val="16"/>
                <w:sz w:val="16"/>
                <w:szCs w:val="16"/>
                <w:u w:val="none"/>
                <w:vertAlign w:val="baseline"/>
              </w:rPr>
              <w:t>mensagens personalizadas ilimitado;</w:t>
            </w:r>
          </w:p>
          <w:p>
            <w:pPr>
              <w:pStyle w:val="Normal"/>
              <w:widowControl w:val="false"/>
              <w:numPr>
                <w:ilvl w:val="0"/>
                <w:numId w:val="5"/>
              </w:numPr>
              <w:tabs>
                <w:tab w:val="clear" w:pos="709"/>
                <w:tab w:val="left" w:pos="1843" w:leader="none"/>
              </w:tabs>
              <w:spacing w:lineRule="auto" w:line="276" w:before="120" w:after="120"/>
              <w:jc w:val="both"/>
              <w:rPr>
                <w:rFonts w:ascii="Calibri" w:hAnsi="Calibri" w:eastAsia="Arial" w:cs="Arial"/>
                <w:b w:val="false"/>
                <w:b w:val="false"/>
                <w:bCs w:val="false"/>
                <w:i w:val="false"/>
                <w:i w:val="false"/>
                <w:caps w:val="false"/>
                <w:smallCaps w:val="false"/>
                <w:strike w:val="false"/>
                <w:dstrike w:val="false"/>
                <w:color w:val="000000"/>
                <w:position w:val="0"/>
                <w:sz w:val="16"/>
                <w:sz w:val="16"/>
                <w:szCs w:val="16"/>
                <w:u w:val="none"/>
                <w:vertAlign w:val="baseline"/>
              </w:rPr>
            </w:pPr>
            <w:r>
              <w:rPr>
                <w:rFonts w:eastAsia="Arial" w:cs="Arial" w:ascii="Calibri" w:hAnsi="Calibri"/>
                <w:b w:val="false"/>
                <w:bCs w:val="false"/>
                <w:i w:val="false"/>
                <w:caps w:val="false"/>
                <w:smallCaps w:val="false"/>
                <w:strike w:val="false"/>
                <w:dstrike w:val="false"/>
                <w:color w:val="000000"/>
                <w:position w:val="0"/>
                <w:sz w:val="16"/>
                <w:sz w:val="16"/>
                <w:szCs w:val="16"/>
                <w:u w:val="none"/>
                <w:vertAlign w:val="baseline"/>
              </w:rPr>
              <w:t>S.O.S ilimitado;</w:t>
            </w:r>
          </w:p>
          <w:p>
            <w:pPr>
              <w:pStyle w:val="Normal"/>
              <w:widowControl w:val="false"/>
              <w:numPr>
                <w:ilvl w:val="0"/>
                <w:numId w:val="5"/>
              </w:numPr>
              <w:tabs>
                <w:tab w:val="clear" w:pos="709"/>
                <w:tab w:val="left" w:pos="1843" w:leader="none"/>
              </w:tabs>
              <w:spacing w:lineRule="auto" w:line="276" w:before="120" w:after="120"/>
              <w:jc w:val="both"/>
              <w:rPr>
                <w:rFonts w:ascii="Calibri" w:hAnsi="Calibri" w:eastAsia="Arial" w:cs="Arial"/>
                <w:b w:val="false"/>
                <w:b w:val="false"/>
                <w:bCs w:val="false"/>
                <w:i w:val="false"/>
                <w:i w:val="false"/>
                <w:caps w:val="false"/>
                <w:smallCaps w:val="false"/>
                <w:strike w:val="false"/>
                <w:dstrike w:val="false"/>
                <w:color w:val="000000"/>
                <w:position w:val="0"/>
                <w:sz w:val="16"/>
                <w:sz w:val="16"/>
                <w:szCs w:val="16"/>
                <w:u w:val="none"/>
                <w:vertAlign w:val="baseline"/>
              </w:rPr>
            </w:pPr>
            <w:r>
              <w:rPr>
                <w:rFonts w:eastAsia="Arial" w:cs="Arial" w:ascii="Calibri" w:hAnsi="Calibri"/>
                <w:b w:val="false"/>
                <w:bCs w:val="false"/>
                <w:i w:val="false"/>
                <w:caps w:val="false"/>
                <w:smallCaps w:val="false"/>
                <w:strike w:val="false"/>
                <w:dstrike w:val="false"/>
                <w:color w:val="000000"/>
                <w:position w:val="0"/>
                <w:sz w:val="16"/>
                <w:sz w:val="16"/>
                <w:szCs w:val="16"/>
                <w:u w:val="none"/>
                <w:vertAlign w:val="baseline"/>
              </w:rPr>
              <w:t>Check-in ilimitado;</w:t>
            </w:r>
          </w:p>
          <w:p>
            <w:pPr>
              <w:pStyle w:val="Normal"/>
              <w:widowControl w:val="false"/>
              <w:numPr>
                <w:ilvl w:val="0"/>
                <w:numId w:val="5"/>
              </w:numPr>
              <w:tabs>
                <w:tab w:val="clear" w:pos="709"/>
                <w:tab w:val="left" w:pos="1843" w:leader="none"/>
              </w:tabs>
              <w:spacing w:lineRule="auto" w:line="276" w:before="120" w:after="120"/>
              <w:jc w:val="both"/>
              <w:rPr>
                <w:rFonts w:ascii="Calibri" w:hAnsi="Calibri" w:eastAsia="Arial" w:cs="Arial"/>
                <w:b w:val="false"/>
                <w:b w:val="false"/>
                <w:bCs w:val="false"/>
                <w:i w:val="false"/>
                <w:i w:val="false"/>
                <w:caps w:val="false"/>
                <w:smallCaps w:val="false"/>
                <w:strike w:val="false"/>
                <w:dstrike w:val="false"/>
                <w:color w:val="000000"/>
                <w:position w:val="0"/>
                <w:sz w:val="16"/>
                <w:sz w:val="16"/>
                <w:szCs w:val="16"/>
                <w:u w:val="none"/>
                <w:vertAlign w:val="baseline"/>
              </w:rPr>
            </w:pPr>
            <w:r>
              <w:rPr>
                <w:rFonts w:eastAsia="Arial" w:cs="Arial" w:ascii="Calibri" w:hAnsi="Calibri"/>
                <w:b w:val="false"/>
                <w:bCs w:val="false"/>
                <w:i w:val="false"/>
                <w:caps w:val="false"/>
                <w:smallCaps w:val="false"/>
                <w:strike w:val="false"/>
                <w:dstrike w:val="false"/>
                <w:color w:val="000000"/>
                <w:position w:val="0"/>
                <w:sz w:val="16"/>
                <w:sz w:val="16"/>
                <w:szCs w:val="16"/>
                <w:u w:val="none"/>
                <w:vertAlign w:val="baseline"/>
              </w:rPr>
              <w:t>Mensagens predefinidas ilimitado;</w:t>
            </w:r>
          </w:p>
          <w:p>
            <w:pPr>
              <w:pStyle w:val="Normal"/>
              <w:widowControl w:val="false"/>
              <w:numPr>
                <w:ilvl w:val="0"/>
                <w:numId w:val="5"/>
              </w:numPr>
              <w:tabs>
                <w:tab w:val="clear" w:pos="709"/>
                <w:tab w:val="left" w:pos="1843" w:leader="none"/>
              </w:tabs>
              <w:spacing w:lineRule="auto" w:line="276" w:before="120" w:after="120"/>
              <w:jc w:val="both"/>
              <w:rPr>
                <w:rFonts w:ascii="Calibri" w:hAnsi="Calibri" w:eastAsia="Arial" w:cs="Arial"/>
                <w:b w:val="false"/>
                <w:b w:val="false"/>
                <w:bCs w:val="false"/>
                <w:i w:val="false"/>
                <w:i w:val="false"/>
                <w:caps w:val="false"/>
                <w:smallCaps w:val="false"/>
                <w:strike w:val="false"/>
                <w:dstrike w:val="false"/>
                <w:color w:val="000000"/>
                <w:position w:val="0"/>
                <w:sz w:val="16"/>
                <w:sz w:val="16"/>
                <w:szCs w:val="16"/>
                <w:u w:val="none"/>
                <w:vertAlign w:val="baseline"/>
              </w:rPr>
            </w:pPr>
            <w:r>
              <w:rPr>
                <w:rFonts w:eastAsia="Arial" w:cs="Arial" w:ascii="Calibri" w:hAnsi="Calibri"/>
                <w:b w:val="false"/>
                <w:bCs w:val="false"/>
                <w:i w:val="false"/>
                <w:caps w:val="false"/>
                <w:smallCaps w:val="false"/>
                <w:strike w:val="false"/>
                <w:dstrike w:val="false"/>
                <w:color w:val="000000"/>
                <w:position w:val="0"/>
                <w:sz w:val="16"/>
                <w:sz w:val="16"/>
                <w:szCs w:val="16"/>
                <w:u w:val="none"/>
                <w:vertAlign w:val="baseline"/>
              </w:rPr>
              <w:t>Intervalos de rastreio 2¹/², 5, 10, 30 e 60 minutos; e</w:t>
            </w:r>
          </w:p>
          <w:p>
            <w:pPr>
              <w:pStyle w:val="Normal"/>
              <w:widowControl w:val="false"/>
              <w:numPr>
                <w:ilvl w:val="0"/>
                <w:numId w:val="5"/>
              </w:numPr>
              <w:tabs>
                <w:tab w:val="clear" w:pos="709"/>
                <w:tab w:val="left" w:pos="1843" w:leader="none"/>
              </w:tabs>
              <w:spacing w:lineRule="auto" w:line="276" w:before="120" w:after="120"/>
              <w:jc w:val="both"/>
              <w:rPr>
                <w:rFonts w:ascii="Calibri" w:hAnsi="Calibri" w:eastAsia="Arial" w:cs="Arial"/>
                <w:b w:val="false"/>
                <w:b w:val="false"/>
                <w:bCs w:val="false"/>
                <w:i w:val="false"/>
                <w:i w:val="false"/>
                <w:caps w:val="false"/>
                <w:smallCaps w:val="false"/>
                <w:strike w:val="false"/>
                <w:dstrike w:val="false"/>
                <w:color w:val="000000"/>
                <w:position w:val="0"/>
                <w:sz w:val="16"/>
                <w:sz w:val="16"/>
                <w:szCs w:val="16"/>
                <w:u w:val="none"/>
                <w:vertAlign w:val="baseline"/>
              </w:rPr>
            </w:pPr>
            <w:r>
              <w:rPr>
                <w:rFonts w:eastAsia="Arial" w:cs="Arial" w:ascii="Calibri" w:hAnsi="Calibri"/>
                <w:b w:val="false"/>
                <w:bCs w:val="false"/>
                <w:i w:val="false"/>
                <w:caps w:val="false"/>
                <w:smallCaps w:val="false"/>
                <w:strike w:val="false"/>
                <w:dstrike w:val="false"/>
                <w:color w:val="000000"/>
                <w:position w:val="0"/>
                <w:sz w:val="16"/>
                <w:sz w:val="16"/>
                <w:szCs w:val="16"/>
                <w:u w:val="none"/>
                <w:vertAlign w:val="baseline"/>
              </w:rPr>
              <w:t>Taxa de ativação inclusa.</w:t>
            </w:r>
          </w:p>
        </w:tc>
        <w:tc>
          <w:tcPr>
            <w:tcW w:w="1417"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76" w:before="0" w:after="120"/>
              <w:jc w:val="center"/>
              <w:rPr>
                <w:rFonts w:ascii="Liberation Serif" w:hAnsi="Liberation Serif"/>
                <w:color w:val="000000"/>
                <w:sz w:val="16"/>
                <w:szCs w:val="16"/>
                <w:highlight w:val="yellow"/>
              </w:rPr>
            </w:pPr>
            <w:r>
              <w:rPr>
                <w:rFonts w:ascii="Liberation Serif" w:hAnsi="Liberation Serif"/>
                <w:color w:val="000000"/>
                <w:sz w:val="16"/>
                <w:szCs w:val="16"/>
                <w:highlight w:val="yellow"/>
              </w:rPr>
            </w:r>
          </w:p>
          <w:p>
            <w:pPr>
              <w:pStyle w:val="Normal"/>
              <w:widowControl w:val="false"/>
              <w:spacing w:lineRule="auto" w:line="276" w:before="0" w:after="120"/>
              <w:jc w:val="center"/>
              <w:rPr>
                <w:rFonts w:ascii="Liberation Serif" w:hAnsi="Liberation Serif"/>
                <w:color w:val="CE181E"/>
                <w:sz w:val="16"/>
                <w:szCs w:val="16"/>
                <w:highlight w:val="white"/>
              </w:rPr>
            </w:pPr>
            <w:r>
              <w:rPr>
                <w:rFonts w:ascii="Liberation Serif" w:hAnsi="Liberation Serif"/>
                <w:color w:val="000000"/>
                <w:sz w:val="16"/>
                <w:szCs w:val="16"/>
                <w:highlight w:val="white"/>
              </w:rPr>
              <w:t>14753</w:t>
            </w:r>
          </w:p>
        </w:tc>
        <w:tc>
          <w:tcPr>
            <w:tcW w:w="1185"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76" w:before="0" w:after="120"/>
              <w:jc w:val="center"/>
              <w:rPr>
                <w:rFonts w:ascii="Liberation Serif" w:hAnsi="Liberation Serif"/>
                <w:sz w:val="16"/>
                <w:szCs w:val="16"/>
              </w:rPr>
            </w:pPr>
            <w:r>
              <w:rPr>
                <w:rFonts w:ascii="Liberation Serif" w:hAnsi="Liberation Serif"/>
                <w:sz w:val="16"/>
                <w:szCs w:val="16"/>
              </w:rPr>
            </w:r>
          </w:p>
          <w:p>
            <w:pPr>
              <w:pStyle w:val="Normal"/>
              <w:widowControl w:val="false"/>
              <w:spacing w:lineRule="auto" w:line="276" w:before="0" w:after="120"/>
              <w:jc w:val="center"/>
              <w:rPr>
                <w:rFonts w:ascii="Liberation Serif" w:hAnsi="Liberation Serif"/>
                <w:sz w:val="16"/>
                <w:szCs w:val="16"/>
              </w:rPr>
            </w:pPr>
            <w:r>
              <w:rPr>
                <w:rFonts w:ascii="Liberation Serif" w:hAnsi="Liberation Serif"/>
                <w:sz w:val="16"/>
                <w:szCs w:val="16"/>
              </w:rPr>
              <w:t>ANUAL</w:t>
            </w:r>
          </w:p>
        </w:tc>
        <w:tc>
          <w:tcPr>
            <w:tcW w:w="916"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76" w:before="0" w:after="120"/>
              <w:jc w:val="center"/>
              <w:rPr>
                <w:rFonts w:ascii="Liberation Serif" w:hAnsi="Liberation Serif"/>
                <w:sz w:val="16"/>
                <w:szCs w:val="16"/>
              </w:rPr>
            </w:pPr>
            <w:r>
              <w:rPr>
                <w:rFonts w:ascii="Liberation Serif" w:hAnsi="Liberation Serif"/>
                <w:sz w:val="16"/>
                <w:szCs w:val="16"/>
              </w:rPr>
            </w:r>
          </w:p>
          <w:p>
            <w:pPr>
              <w:pStyle w:val="Normal"/>
              <w:widowControl w:val="false"/>
              <w:spacing w:lineRule="auto" w:line="276" w:before="0" w:after="120"/>
              <w:jc w:val="center"/>
              <w:rPr>
                <w:rFonts w:ascii="Liberation Serif" w:hAnsi="Liberation Serif"/>
                <w:sz w:val="16"/>
                <w:szCs w:val="16"/>
              </w:rPr>
            </w:pPr>
            <w:r>
              <w:rPr>
                <w:rFonts w:ascii="Liberation Serif" w:hAnsi="Liberation Serif"/>
                <w:sz w:val="16"/>
                <w:szCs w:val="16"/>
              </w:rPr>
              <w:t>10</w:t>
            </w:r>
          </w:p>
        </w:tc>
        <w:tc>
          <w:tcPr>
            <w:tcW w:w="1185"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76" w:before="0" w:after="120"/>
              <w:jc w:val="center"/>
              <w:rPr>
                <w:rFonts w:ascii="Liberation Serif" w:hAnsi="Liberation Serif"/>
                <w:sz w:val="16"/>
                <w:szCs w:val="16"/>
              </w:rPr>
            </w:pPr>
            <w:r>
              <w:rPr>
                <w:rFonts w:ascii="Liberation Serif" w:hAnsi="Liberation Serif"/>
                <w:sz w:val="16"/>
                <w:szCs w:val="16"/>
              </w:rPr>
            </w:r>
          </w:p>
          <w:p>
            <w:pPr>
              <w:pStyle w:val="Normal"/>
              <w:widowControl w:val="false"/>
              <w:spacing w:lineRule="auto" w:line="276" w:before="0" w:after="120"/>
              <w:jc w:val="center"/>
              <w:rPr>
                <w:rFonts w:ascii="Liberation Serif" w:hAnsi="Liberation Serif"/>
                <w:sz w:val="16"/>
                <w:szCs w:val="16"/>
              </w:rPr>
            </w:pPr>
            <w:r>
              <w:rPr>
                <w:rFonts w:ascii="Liberation Serif" w:hAnsi="Liberation Serif"/>
                <w:sz w:val="16"/>
                <w:szCs w:val="16"/>
              </w:rPr>
              <w:t>R$ 2.</w:t>
            </w:r>
            <w:r>
              <w:rPr>
                <w:rFonts w:ascii="Liberation Serif" w:hAnsi="Liberation Serif"/>
                <w:sz w:val="16"/>
                <w:szCs w:val="16"/>
              </w:rPr>
              <w:t>7</w:t>
            </w:r>
            <w:r>
              <w:rPr>
                <w:rFonts w:ascii="Liberation Serif" w:hAnsi="Liberation Serif"/>
                <w:sz w:val="16"/>
                <w:szCs w:val="16"/>
              </w:rPr>
              <w:t>98,80</w:t>
            </w:r>
          </w:p>
        </w:tc>
        <w:tc>
          <w:tcPr>
            <w:tcW w:w="2553"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76" w:before="0" w:after="120"/>
              <w:jc w:val="center"/>
              <w:rPr>
                <w:rFonts w:ascii="Liberation Serif" w:hAnsi="Liberation Serif"/>
                <w:sz w:val="16"/>
                <w:szCs w:val="16"/>
              </w:rPr>
            </w:pPr>
            <w:r>
              <w:rPr>
                <w:rFonts w:ascii="Liberation Serif" w:hAnsi="Liberation Serif"/>
                <w:sz w:val="16"/>
                <w:szCs w:val="16"/>
              </w:rPr>
            </w:r>
          </w:p>
          <w:p>
            <w:pPr>
              <w:pStyle w:val="Normal"/>
              <w:widowControl w:val="false"/>
              <w:spacing w:lineRule="auto" w:line="276" w:before="0" w:after="120"/>
              <w:jc w:val="center"/>
              <w:rPr>
                <w:rFonts w:ascii="Liberation Serif" w:hAnsi="Liberation Serif"/>
                <w:sz w:val="16"/>
                <w:szCs w:val="16"/>
              </w:rPr>
            </w:pPr>
            <w:r>
              <w:rPr>
                <w:rFonts w:ascii="Liberation Serif" w:hAnsi="Liberation Serif"/>
                <w:sz w:val="16"/>
                <w:szCs w:val="16"/>
              </w:rPr>
              <w:t>R$ 2</w:t>
            </w:r>
            <w:r>
              <w:rPr>
                <w:rFonts w:ascii="Liberation Serif" w:hAnsi="Liberation Serif"/>
                <w:sz w:val="16"/>
                <w:szCs w:val="16"/>
              </w:rPr>
              <w:t>7</w:t>
            </w:r>
            <w:r>
              <w:rPr>
                <w:rFonts w:ascii="Liberation Serif" w:hAnsi="Liberation Serif"/>
                <w:sz w:val="16"/>
                <w:szCs w:val="16"/>
              </w:rPr>
              <w:t>.988,00</w:t>
            </w:r>
          </w:p>
        </w:tc>
      </w:tr>
    </w:tbl>
    <w:p>
      <w:pPr>
        <w:pStyle w:val="Normal"/>
        <w:keepNext w:val="true"/>
        <w:keepLines w:val="false"/>
        <w:widowControl/>
        <w:numPr>
          <w:ilvl w:val="0"/>
          <w:numId w:val="0"/>
        </w:numPr>
        <w:shd w:val="clear" w:fill="auto"/>
        <w:spacing w:lineRule="auto" w:line="276" w:before="120" w:after="120"/>
        <w:ind w:left="1944" w:right="0" w:hanging="0"/>
        <w:jc w:val="both"/>
        <w:rPr>
          <w:rFonts w:ascii="Calibri" w:hAnsi="Calibri" w:eastAsia="Arial" w:cs="Arial"/>
          <w:b w:val="false"/>
          <w:b w:val="false"/>
          <w:i w:val="false"/>
          <w:i w:val="false"/>
          <w:iCs w:val="false"/>
          <w:caps w:val="false"/>
          <w:smallCaps w:val="false"/>
          <w:strike w:val="false"/>
          <w:dstrike w:val="false"/>
          <w:color w:val="000000"/>
          <w:position w:val="0"/>
          <w:sz w:val="16"/>
          <w:sz w:val="16"/>
          <w:szCs w:val="16"/>
          <w:highlight w:val="white"/>
          <w:u w:val="none"/>
          <w:vertAlign w:val="baseline"/>
        </w:rPr>
      </w:pPr>
      <w:r>
        <w:rPr>
          <w:rFonts w:eastAsia="Arial" w:cs="Arial" w:ascii="Calibri" w:hAnsi="Calibri"/>
          <w:b w:val="false"/>
          <w:i w:val="false"/>
          <w:iCs w:val="false"/>
          <w:caps w:val="false"/>
          <w:smallCaps w:val="false"/>
          <w:strike w:val="false"/>
          <w:dstrike w:val="false"/>
          <w:color w:val="000000"/>
          <w:position w:val="0"/>
          <w:sz w:val="16"/>
          <w:sz w:val="16"/>
          <w:szCs w:val="16"/>
          <w:highlight w:val="white"/>
          <w:u w:val="none"/>
          <w:vertAlign w:val="baseline"/>
        </w:rPr>
      </w:r>
    </w:p>
    <w:p>
      <w:pPr>
        <w:pStyle w:val="Normal"/>
        <w:widowControl/>
        <w:numPr>
          <w:ilvl w:val="2"/>
          <w:numId w:val="3"/>
        </w:numPr>
        <w:shd w:val="clear" w:fill="auto"/>
        <w:spacing w:lineRule="auto" w:line="276" w:before="120" w:after="12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Havendo mais de um item ou lote faculta-se ao fornecedor a participação em quantos forem de seu interesse. Entretanto, optando-se por participar de um lote, deve o fornecedor enviar proposta para todos os itens que o compõem.</w:t>
      </w:r>
    </w:p>
    <w:p>
      <w:pPr>
        <w:pStyle w:val="Normal"/>
        <w:keepNext w:val="true"/>
        <w:keepLines w:val="false"/>
        <w:widowControl/>
        <w:numPr>
          <w:ilvl w:val="1"/>
          <w:numId w:val="3"/>
        </w:numPr>
        <w:shd w:val="clear" w:fill="auto"/>
        <w:spacing w:lineRule="auto" w:line="276" w:before="120" w:after="12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O critério de julgamento adotado será o menor preço,</w:t>
      </w:r>
      <w:r>
        <w:rPr>
          <w:rFonts w:eastAsia="Arial" w:cs="Arial" w:ascii="Calibri" w:hAnsi="Calibri"/>
          <w:b w:val="false"/>
          <w:i w:val="false"/>
          <w:iCs w:val="false"/>
          <w:caps w:val="false"/>
          <w:smallCaps w:val="false"/>
          <w:strike w:val="false"/>
          <w:dstrike w:val="false"/>
          <w:color w:val="FF0000"/>
          <w:position w:val="0"/>
          <w:sz w:val="24"/>
          <w:sz w:val="24"/>
          <w:szCs w:val="24"/>
          <w:u w:val="none"/>
          <w:shd w:fill="FFFFFF" w:val="clear"/>
          <w:vertAlign w:val="baseline"/>
        </w:rPr>
        <w:t xml:space="preserve"> </w:t>
      </w: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observadas as exigências contidas neste Aviso de Aquisição Direta e seus Anexos quanto às especificações do objeto.</w:t>
      </w:r>
    </w:p>
    <w:p>
      <w:pPr>
        <w:pStyle w:val="Normal"/>
        <w:widowControl/>
        <w:numPr>
          <w:ilvl w:val="0"/>
          <w:numId w:val="0"/>
        </w:numPr>
        <w:shd w:val="clear" w:fill="auto"/>
        <w:spacing w:lineRule="auto" w:line="276" w:before="120" w:after="120"/>
        <w:ind w:left="1152" w:right="0" w:hanging="0"/>
        <w:jc w:val="both"/>
        <w:rPr>
          <w:rFonts w:ascii="Calibri" w:hAnsi="Calibri" w:eastAsia="Arial" w:cs="Arial"/>
          <w:b w:val="false"/>
          <w:b w:val="false"/>
          <w:i w:val="false"/>
          <w:i w:val="false"/>
          <w:iCs w:val="false"/>
          <w:caps w:val="false"/>
          <w:smallCaps w:val="false"/>
          <w:strike w:val="false"/>
          <w:dstrike w:val="false"/>
          <w:color w:val="000000"/>
          <w:position w:val="0"/>
          <w:sz w:val="24"/>
          <w:sz w:val="24"/>
          <w:szCs w:val="24"/>
          <w:u w:val="none"/>
          <w:vertAlign w:val="baseline"/>
        </w:rPr>
      </w:pPr>
      <w:r>
        <w:rPr>
          <w:rFonts w:eastAsia="Arial" w:cs="Arial" w:ascii="Calibri" w:hAnsi="Calibri"/>
          <w:b w:val="false"/>
          <w:i w:val="false"/>
          <w:iCs w:val="false"/>
          <w:caps w:val="false"/>
          <w:smallCaps w:val="false"/>
          <w:strike w:val="false"/>
          <w:dstrike w:val="false"/>
          <w:color w:val="000000"/>
          <w:position w:val="0"/>
          <w:sz w:val="24"/>
          <w:sz w:val="24"/>
          <w:szCs w:val="24"/>
          <w:u w:val="none"/>
          <w:vertAlign w:val="baseline"/>
        </w:rPr>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libri" w:hAnsi="Calibri"/>
          <w:b/>
          <w:i w:val="false"/>
          <w:iCs w:val="false"/>
          <w:caps w:val="false"/>
          <w:smallCaps w:val="false"/>
          <w:strike w:val="false"/>
          <w:dstrike w:val="false"/>
          <w:color w:val="000000"/>
          <w:position w:val="0"/>
          <w:sz w:val="24"/>
          <w:sz w:val="24"/>
          <w:szCs w:val="24"/>
          <w:u w:val="none"/>
          <w:shd w:fill="FFFFFF" w:val="clear"/>
          <w:vertAlign w:val="baseline"/>
        </w:rPr>
        <w:t>PARTICIPAÇÃO NA DISPENSA ELETRÔNICA.</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sz w:val="24"/>
          <w:szCs w:val="24"/>
        </w:rPr>
        <w:t>A participação na presente dispensa eletrônica se dará mediante Sistema de Dispensa Eletrônica integrante do Sistema de Compras do Governo Federal – Comprasnet 4.0, disponível no endereço eletrônico https://www.gov.br/compras/pt-br.</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sz w:val="24"/>
          <w:szCs w:val="24"/>
        </w:rPr>
        <w:t>Os fornecedores deverão atender aos procedimentos previstos no Manual do Sistema de Dispensa Eletrônica, disponível no Portal de Compras do Governo Federal, para acesso ao sistema e operacionalização.</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sz w:val="24"/>
          <w:szCs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Não poderão participar desta dispensa os fornecedores:</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que não atendam às condições deste Aviso de Contratação Direta e seu(s) anexo(s);</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estrangeiros que não tenham representação legal no Brasil com poderes expressos para receber citação e responder administrativa ou judicialmente;</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que se enquadrem nas seguintes vedações:</w:t>
      </w:r>
    </w:p>
    <w:p>
      <w:pPr>
        <w:pStyle w:val="Normal"/>
        <w:numPr>
          <w:ilvl w:val="3"/>
          <w:numId w:val="1"/>
        </w:numPr>
        <w:spacing w:lineRule="auto" w:line="276" w:before="120" w:after="120"/>
        <w:ind w:left="1728" w:hanging="648"/>
        <w:jc w:val="both"/>
        <w:rPr>
          <w:rFonts w:ascii="Carlito " w:hAnsi="Carlito "/>
          <w:sz w:val="24"/>
          <w:szCs w:val="24"/>
        </w:rPr>
      </w:pPr>
      <w:r>
        <w:rPr>
          <w:rFonts w:ascii="Calibri" w:hAnsi="Calibri"/>
          <w:i w:val="false"/>
          <w:iCs w:val="false"/>
          <w:color w:val="000000"/>
          <w:sz w:val="24"/>
          <w:szCs w:val="24"/>
        </w:rPr>
        <w:t>autor do anteprojeto, do projeto básico ou do projeto executivo, pessoa física ou jurídica, quando a contratação versar sobre obra, serviços ou fornecimento de bens a ele relacionados;</w:t>
      </w:r>
    </w:p>
    <w:p>
      <w:pPr>
        <w:pStyle w:val="Normal"/>
        <w:numPr>
          <w:ilvl w:val="3"/>
          <w:numId w:val="1"/>
        </w:numPr>
        <w:spacing w:lineRule="auto" w:line="276" w:before="120" w:after="120"/>
        <w:ind w:left="1728" w:hanging="648"/>
        <w:jc w:val="both"/>
        <w:rPr>
          <w:rFonts w:ascii="Carlito " w:hAnsi="Carlito "/>
          <w:sz w:val="24"/>
          <w:szCs w:val="24"/>
        </w:rPr>
      </w:pPr>
      <w:r>
        <w:rPr>
          <w:rFonts w:ascii="Calibri" w:hAnsi="Calibri"/>
          <w:i w:val="false"/>
          <w:iCs w:val="false"/>
          <w:color w:val="000000"/>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pStyle w:val="Normal"/>
        <w:numPr>
          <w:ilvl w:val="3"/>
          <w:numId w:val="1"/>
        </w:numPr>
        <w:spacing w:lineRule="auto" w:line="276" w:before="120" w:after="120"/>
        <w:ind w:left="1728" w:hanging="648"/>
        <w:jc w:val="both"/>
        <w:rPr>
          <w:rFonts w:ascii="Carlito " w:hAnsi="Carlito "/>
          <w:sz w:val="24"/>
          <w:szCs w:val="24"/>
        </w:rPr>
      </w:pPr>
      <w:r>
        <w:rPr>
          <w:rFonts w:ascii="Calibri" w:hAnsi="Calibri"/>
          <w:i w:val="false"/>
          <w:iCs w:val="false"/>
          <w:color w:val="000000"/>
          <w:sz w:val="24"/>
          <w:szCs w:val="24"/>
        </w:rPr>
        <w:t>pessoa física ou jurídica que se encontre, ao tempo da contratação, impossibilitada de contratar em decorrência de sanção que lhe foi imposta;</w:t>
      </w:r>
    </w:p>
    <w:p>
      <w:pPr>
        <w:pStyle w:val="Normal"/>
        <w:numPr>
          <w:ilvl w:val="3"/>
          <w:numId w:val="1"/>
        </w:numPr>
        <w:spacing w:lineRule="auto" w:line="276" w:before="120" w:after="120"/>
        <w:ind w:left="1728" w:hanging="648"/>
        <w:jc w:val="both"/>
        <w:rPr>
          <w:rFonts w:ascii="Carlito " w:hAnsi="Carlito "/>
          <w:sz w:val="24"/>
          <w:szCs w:val="24"/>
        </w:rPr>
      </w:pPr>
      <w:r>
        <w:rPr>
          <w:rFonts w:ascii="Calibri" w:hAnsi="Calibri"/>
          <w:i w:val="false"/>
          <w:iCs w:val="false"/>
          <w:color w:val="000000"/>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numPr>
          <w:ilvl w:val="3"/>
          <w:numId w:val="1"/>
        </w:numPr>
        <w:spacing w:lineRule="auto" w:line="276" w:before="120" w:after="120"/>
        <w:ind w:left="1728" w:hanging="648"/>
        <w:jc w:val="both"/>
        <w:rPr/>
      </w:pPr>
      <w:r>
        <w:rPr>
          <w:rFonts w:ascii="Calibri" w:hAnsi="Calibri"/>
          <w:i w:val="false"/>
          <w:iCs w:val="false"/>
          <w:color w:val="000000"/>
          <w:sz w:val="24"/>
          <w:szCs w:val="24"/>
        </w:rPr>
        <w:t>empresas controladoras, controladas ou coligadas, nos termos da </w:t>
      </w:r>
      <w:hyperlink r:id="rId2">
        <w:r>
          <w:rPr>
            <w:rFonts w:ascii="Calibri" w:hAnsi="Calibri"/>
            <w:i w:val="false"/>
            <w:iCs w:val="false"/>
            <w:color w:val="000080"/>
            <w:sz w:val="24"/>
            <w:szCs w:val="24"/>
            <w:u w:val="single"/>
          </w:rPr>
          <w:t>Lei nº 6.404, de 15 de dezembro de 1976</w:t>
        </w:r>
      </w:hyperlink>
      <w:r>
        <w:rPr>
          <w:rFonts w:ascii="Calibri" w:hAnsi="Calibri"/>
          <w:i w:val="false"/>
          <w:iCs w:val="false"/>
          <w:color w:val="000000"/>
          <w:sz w:val="24"/>
          <w:szCs w:val="24"/>
        </w:rPr>
        <w:t>, concorrendo entre si;</w:t>
      </w:r>
    </w:p>
    <w:p>
      <w:pPr>
        <w:pStyle w:val="Normal"/>
        <w:numPr>
          <w:ilvl w:val="3"/>
          <w:numId w:val="1"/>
        </w:numPr>
        <w:spacing w:lineRule="auto" w:line="276" w:before="120" w:after="120"/>
        <w:ind w:left="1728" w:hanging="648"/>
        <w:jc w:val="both"/>
        <w:rPr>
          <w:rFonts w:ascii="Carlito " w:hAnsi="Carlito "/>
          <w:sz w:val="24"/>
          <w:szCs w:val="24"/>
        </w:rPr>
      </w:pPr>
      <w:r>
        <w:rPr>
          <w:rFonts w:ascii="Calibri" w:hAnsi="Calibri"/>
          <w:i w:val="false"/>
          <w:iCs w:val="false"/>
          <w:color w:val="000000"/>
          <w:sz w:val="24"/>
          <w:szCs w:val="24"/>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numPr>
          <w:ilvl w:val="3"/>
          <w:numId w:val="3"/>
        </w:numPr>
        <w:spacing w:lineRule="auto" w:line="276" w:before="120" w:after="120"/>
        <w:ind w:left="1728" w:hanging="648"/>
        <w:jc w:val="both"/>
        <w:rPr>
          <w:rFonts w:ascii="Carlito " w:hAnsi="Carlito "/>
          <w:sz w:val="24"/>
          <w:szCs w:val="24"/>
        </w:rPr>
      </w:pPr>
      <w:r>
        <w:rPr>
          <w:rFonts w:ascii="Calibri" w:hAnsi="Calibri"/>
          <w:i w:val="false"/>
          <w:iCs w:val="false"/>
          <w:color w:val="000000"/>
          <w:sz w:val="24"/>
          <w:szCs w:val="24"/>
        </w:rPr>
        <w:t>Equiparam-se aos autores do projeto as empresas integrantes do mesmo grupo econômico;</w:t>
      </w:r>
    </w:p>
    <w:p>
      <w:pPr>
        <w:pStyle w:val="Normal"/>
        <w:numPr>
          <w:ilvl w:val="3"/>
          <w:numId w:val="3"/>
        </w:numPr>
        <w:spacing w:lineRule="auto" w:line="276" w:before="120" w:after="120"/>
        <w:ind w:left="1728" w:hanging="648"/>
        <w:jc w:val="both"/>
        <w:rPr>
          <w:rFonts w:ascii="Carlito " w:hAnsi="Carlito "/>
          <w:sz w:val="24"/>
          <w:szCs w:val="24"/>
        </w:rPr>
      </w:pPr>
      <w:r>
        <w:rPr>
          <w:rFonts w:ascii="Calibri" w:hAnsi="Calibri"/>
          <w:i w:val="false"/>
          <w:iCs w:val="false"/>
          <w:color w:val="000000"/>
          <w:sz w:val="24"/>
          <w:szCs w:val="24"/>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organizações da Sociedade Civil de Interesse Público - OSCIP, atuando nessa condição (Acórdão nº 746/2014-TCU-Plenário); e</w:t>
      </w:r>
    </w:p>
    <w:p>
      <w:pPr>
        <w:pStyle w:val="Normal"/>
        <w:spacing w:lineRule="auto" w:line="276" w:before="120" w:after="120"/>
        <w:ind w:hanging="0"/>
        <w:jc w:val="both"/>
        <w:rPr>
          <w:rFonts w:ascii="Calibri" w:hAnsi="Calibri" w:eastAsia="Arial" w:cs="Arial"/>
          <w:b/>
          <w:b/>
          <w:i w:val="false"/>
          <w:i w:val="false"/>
          <w:iCs w:val="false"/>
          <w:caps w:val="false"/>
          <w:smallCaps w:val="false"/>
          <w:strike w:val="false"/>
          <w:dstrike w:val="false"/>
          <w:color w:val="000000"/>
          <w:position w:val="0"/>
          <w:sz w:val="24"/>
          <w:sz w:val="24"/>
          <w:szCs w:val="24"/>
          <w:u w:val="none"/>
          <w:vertAlign w:val="baseline"/>
        </w:rPr>
      </w:pPr>
      <w:r>
        <w:rPr>
          <w:rFonts w:eastAsia="Arial" w:cs="Arial" w:ascii="Calibri" w:hAnsi="Calibri"/>
          <w:b/>
          <w:i w:val="false"/>
          <w:iCs w:val="false"/>
          <w:caps w:val="false"/>
          <w:smallCaps w:val="false"/>
          <w:strike w:val="false"/>
          <w:dstrike w:val="false"/>
          <w:color w:val="000000"/>
          <w:position w:val="0"/>
          <w:sz w:val="24"/>
          <w:sz w:val="24"/>
          <w:szCs w:val="24"/>
          <w:u w:val="none"/>
          <w:vertAlign w:val="baseline"/>
        </w:rPr>
      </w:r>
    </w:p>
    <w:p>
      <w:pPr>
        <w:pStyle w:val="Normal"/>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libri" w:hAnsi="Calibri"/>
          <w:b/>
          <w:i w:val="false"/>
          <w:iCs w:val="false"/>
          <w:caps w:val="false"/>
          <w:smallCaps w:val="false"/>
          <w:strike w:val="false"/>
          <w:dstrike w:val="false"/>
          <w:color w:val="000000"/>
          <w:position w:val="0"/>
          <w:sz w:val="24"/>
          <w:sz w:val="24"/>
          <w:szCs w:val="24"/>
          <w:u w:val="none"/>
          <w:shd w:fill="FFFFFF" w:val="clear"/>
          <w:vertAlign w:val="baseline"/>
        </w:rPr>
        <w:t>INGRESSO NA DISPENSA ELETRÔNICA E CADASTRAMENTO DA PROPOSTA INICIAL</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O ingresso do fornecedor na disputa da dispensa eletrônica se dará com o cadastramento de sua proposta inicial, na forma deste item.</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sz w:val="24"/>
          <w:szCs w:val="24"/>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sz w:val="24"/>
          <w:szCs w:val="24"/>
        </w:rPr>
        <w:t xml:space="preserve">Todas as especificações do </w:t>
      </w:r>
      <w:r>
        <w:rPr>
          <w:rFonts w:ascii="Calibri" w:hAnsi="Calibri"/>
          <w:i w:val="false"/>
          <w:iCs w:val="false"/>
          <w:color w:val="000000"/>
          <w:sz w:val="24"/>
          <w:szCs w:val="24"/>
        </w:rPr>
        <w:t>objeto</w:t>
      </w:r>
      <w:r>
        <w:rPr>
          <w:rFonts w:ascii="Calibri" w:hAnsi="Calibri"/>
          <w:i w:val="false"/>
          <w:iCs w:val="false"/>
          <w:sz w:val="24"/>
          <w:szCs w:val="24"/>
        </w:rPr>
        <w:t xml:space="preserve"> contidas na proposta, em especial o preço, vinculam a Contratada.</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sz w:val="24"/>
          <w:szCs w:val="24"/>
        </w:rPr>
        <w:t>Nos valores propostos estarão inclusos todos os custos operacionais, encargos previdenciários, trabalhistas, tributários, comerciais e quaisquer outros que incidam direta ou indiretamente na prestação dos serviços;</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sz w:val="24"/>
          <w:szCs w:val="24"/>
        </w:rPr>
        <w:t>Os preços ofertados, tanto na proposta inicial, quanto na etapa de lances, serão de exclusiva responsabilidade do fornecedor, não lhe assistindo o direito de pleitear qualquer alteração, sob alegação de erro, omissão ou qualquer outro pretexto.</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sz w:val="24"/>
          <w:szCs w:val="24"/>
        </w:rPr>
        <w:t xml:space="preserve">Se o regime tributário da empresa implicar o recolhimento de tributos em percentuais variáveis, a cotação adequada será a que corresponde à média dos efetivos recolhimentos da empresa nos últimos doze meses. </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sz w:val="24"/>
          <w:szCs w:val="24"/>
        </w:rPr>
        <w:t>Independentemente do percentual de tributo inserido na planilha, no pagamento serão retidos na fonte os percentuais estabelecidos na legislação vigente.</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sz w:val="24"/>
          <w:szCs w:val="24"/>
        </w:rPr>
        <w:t xml:space="preserve">A apresentação das propostas implica obrigatoriedade do cumprimento das disposições nelas contidas, em conformidade com o que dispõe o </w:t>
      </w:r>
      <w:r>
        <w:rPr>
          <w:rFonts w:ascii="Calibri" w:hAnsi="Calibri"/>
          <w:i w:val="false"/>
          <w:iCs w:val="false"/>
          <w:color w:val="000000"/>
          <w:sz w:val="24"/>
          <w:szCs w:val="24"/>
        </w:rPr>
        <w:t>Termo de Referência,</w:t>
      </w:r>
      <w:r>
        <w:rPr>
          <w:rFonts w:ascii="Calibri" w:hAnsi="Calibri"/>
          <w:i w:val="false"/>
          <w:iCs w:val="false"/>
          <w:sz w:val="24"/>
          <w:szCs w:val="24"/>
        </w:rPr>
        <w:t xml:space="preserve">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sz w:val="24"/>
          <w:szCs w:val="24"/>
        </w:rPr>
        <w:t xml:space="preserve">Uma vez enviada a proposta no sistema, os fornecedores </w:t>
      </w:r>
      <w:r>
        <w:rPr>
          <w:rFonts w:ascii="Calibri" w:hAnsi="Calibri"/>
          <w:b/>
          <w:i w:val="false"/>
          <w:iCs w:val="false"/>
          <w:sz w:val="24"/>
          <w:szCs w:val="24"/>
        </w:rPr>
        <w:t>NÃO</w:t>
      </w:r>
      <w:r>
        <w:rPr>
          <w:rFonts w:ascii="Calibri" w:hAnsi="Calibri"/>
          <w:i w:val="false"/>
          <w:iCs w:val="false"/>
          <w:sz w:val="24"/>
          <w:szCs w:val="24"/>
        </w:rPr>
        <w:t xml:space="preserve"> poderão retirá-la, substituí-la ou modificá-la</w:t>
      </w:r>
      <w:r>
        <w:rPr>
          <w:rFonts w:ascii="Calibri" w:hAnsi="Calibri"/>
          <w:i w:val="false"/>
          <w:iCs w:val="false"/>
          <w:color w:val="000000"/>
          <w:sz w:val="24"/>
          <w:szCs w:val="24"/>
        </w:rPr>
        <w:t>;</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 xml:space="preserve">No cadastramento da proposta inicial, o fornecedor deverá, também, assinalar “sim” ou “não” em campo </w:t>
      </w:r>
      <w:r>
        <w:rPr>
          <w:rFonts w:ascii="Calibri" w:hAnsi="Calibri"/>
          <w:i w:val="false"/>
          <w:iCs w:val="false"/>
          <w:sz w:val="24"/>
          <w:szCs w:val="24"/>
        </w:rPr>
        <w:t>próprio</w:t>
      </w:r>
      <w:r>
        <w:rPr>
          <w:rFonts w:ascii="Calibri" w:hAnsi="Calibri"/>
          <w:i w:val="false"/>
          <w:iCs w:val="false"/>
          <w:color w:val="000000"/>
          <w:sz w:val="24"/>
          <w:szCs w:val="24"/>
        </w:rPr>
        <w:t xml:space="preserve"> do sistema eletrônico, às seguintes declarações: </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que inexistem fatos impeditivos para sua habilitação no certame, ciente da obrigatoriedade de declarar ocorrências posteriores;</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que cumpre os requisitos estabelecidos no artigo 3° da Lei Complementar nº 123, de 2006, estando apto a usufruir do tratamento favorecido estabelecido em seus arts. 42 a 49.</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que está ciente e concorda com as condições contidas no Aviso de Contratação Direta e seus anexos;</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que assume a responsabilidade pelas transações que forem efetuadas no sistema, assumindo como firmes e verdadeiras;</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que cumpre as exigências de reserva de cargos para pessoa com deficiência e para reabilitado da Previdência Social, de que trata o art. 93 da Lei nº 8.213/91;</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que não emprega menor de 18 anos em trabalho noturno, perigoso ou insalubre e não emprega menor de 16 anos, salvo menor, a partir de 14 anos, na condição de aprendiz, nos termos do artigo 7°, XXXIII, da Constituição.</w:t>
      </w:r>
    </w:p>
    <w:p>
      <w:pPr>
        <w:pStyle w:val="Normal"/>
        <w:keepNext w:val="true"/>
        <w:keepLines w:val="false"/>
        <w:widowControl/>
        <w:numPr>
          <w:ilvl w:val="0"/>
          <w:numId w:val="0"/>
        </w:numPr>
        <w:shd w:val="clear" w:fill="auto"/>
        <w:spacing w:lineRule="auto" w:line="276" w:before="120" w:after="120"/>
        <w:ind w:left="360" w:right="0" w:hanging="0"/>
        <w:jc w:val="both"/>
        <w:rPr>
          <w:rFonts w:ascii="Carlito " w:hAnsi="Carlito "/>
          <w:sz w:val="24"/>
          <w:szCs w:val="24"/>
        </w:rPr>
      </w:pPr>
      <w:r>
        <w:rPr>
          <w:rFonts w:eastAsia="Arial" w:cs="Arial" w:ascii="Calibri" w:hAnsi="Calibri"/>
          <w:b/>
          <w:i w:val="false"/>
          <w:iCs w:val="false"/>
          <w:caps w:val="false"/>
          <w:smallCaps w:val="false"/>
          <w:strike w:val="false"/>
          <w:dstrike w:val="false"/>
          <w:color w:val="000000"/>
          <w:position w:val="0"/>
          <w:sz w:val="24"/>
          <w:sz w:val="24"/>
          <w:szCs w:val="24"/>
          <w:u w:val="none"/>
          <w:shd w:fill="FFFFFF" w:val="clear"/>
          <w:vertAlign w:val="baseline"/>
        </w:rPr>
        <w:t>FASE DE LANCES</w:t>
      </w:r>
    </w:p>
    <w:p>
      <w:pPr>
        <w:pStyle w:val="Normal"/>
        <w:keepNext w:val="true"/>
        <w:keepLines w:val="false"/>
        <w:widowControl/>
        <w:numPr>
          <w:ilvl w:val="1"/>
          <w:numId w:val="3"/>
        </w:numPr>
        <w:shd w:val="clear" w:fill="auto"/>
        <w:spacing w:lineRule="auto" w:line="276" w:before="120" w:after="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A partir das 8:00h da data estabelecida neste Aviso de Contratação Direta, a sessão pública será automaticamente aberta pelo sistema para o envio de lances públicos e sucessivos, exclusivamente por meio do sistema eletrônico, sendo encerrado no horário de finalização de lances também já previsto neste aviso.</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 xml:space="preserve">Iniciada a etapa competitiva, os fornecedores deverão encaminhar lances exclusivamente por meio de sistema eletrônico, sendo imediatamente informados do seu recebimento e do valor consignado no registro. </w:t>
      </w:r>
    </w:p>
    <w:p>
      <w:pPr>
        <w:pStyle w:val="Normal"/>
        <w:keepNext w:val="true"/>
        <w:keepLines w:val="false"/>
        <w:widowControl/>
        <w:numPr>
          <w:ilvl w:val="2"/>
          <w:numId w:val="3"/>
        </w:numPr>
        <w:shd w:val="clear" w:fill="auto"/>
        <w:spacing w:lineRule="auto" w:line="276" w:before="0" w:after="12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O lance deverá ser ofertado pelo valor total do item.</w:t>
      </w:r>
    </w:p>
    <w:p>
      <w:pPr>
        <w:pStyle w:val="Normal"/>
        <w:keepNext w:val="true"/>
        <w:keepLines w:val="false"/>
        <w:widowControl/>
        <w:numPr>
          <w:ilvl w:val="1"/>
          <w:numId w:val="3"/>
        </w:numPr>
        <w:shd w:val="clear" w:fill="auto"/>
        <w:spacing w:lineRule="auto" w:line="276" w:before="120" w:after="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O fornecedor somente poderá oferecer valor inferior ou maior percentual de desconto em relação ao último lance por ele ofertado e registrado pelo sistema.</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Normal"/>
        <w:keepNext w:val="true"/>
        <w:keepLines w:val="false"/>
        <w:widowControl/>
        <w:shd w:val="clear" w:fill="auto"/>
        <w:spacing w:lineRule="auto" w:line="276" w:before="0" w:after="0"/>
        <w:ind w:right="0" w:hanging="0"/>
        <w:jc w:val="both"/>
        <w:rPr>
          <w:rFonts w:ascii="Calibri" w:hAnsi="Calibri" w:eastAsia="Arial" w:cs="Arial"/>
          <w:b w:val="false"/>
          <w:b w:val="false"/>
          <w:i w:val="false"/>
          <w:i w:val="false"/>
          <w:iCs w:val="false"/>
          <w:caps w:val="false"/>
          <w:smallCaps w:val="false"/>
          <w:strike w:val="false"/>
          <w:dstrike w:val="false"/>
          <w:color w:val="FF0000"/>
          <w:position w:val="0"/>
          <w:sz w:val="24"/>
          <w:sz w:val="24"/>
          <w:szCs w:val="24"/>
          <w:u w:val="none"/>
          <w:vertAlign w:val="baseline"/>
        </w:rPr>
      </w:pPr>
      <w:r>
        <w:rPr>
          <w:rFonts w:eastAsia="Arial" w:cs="Arial" w:ascii="Calibri" w:hAnsi="Calibri"/>
          <w:b w:val="false"/>
          <w:i w:val="false"/>
          <w:iCs w:val="false"/>
          <w:caps w:val="false"/>
          <w:smallCaps w:val="false"/>
          <w:strike w:val="false"/>
          <w:dstrike w:val="false"/>
          <w:color w:val="FF0000"/>
          <w:position w:val="0"/>
          <w:sz w:val="24"/>
          <w:sz w:val="24"/>
          <w:szCs w:val="24"/>
          <w:u w:val="none"/>
          <w:vertAlign w:val="baseline"/>
        </w:rPr>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Havendo lances iguais ao menor já ofertado, prevalecerá aquele que for recebido e registrado primeiro no sistema.</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Caso o fornecedor não apresente lances, concorrerá com o valor de sua proposta.</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Durante o procedimento, os fornecedores serão informados, em tempo real, do valor do menor lance registrado, vedada a identificação do fornecedor.</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Imediatamente após o término do prazo estabelecido para a fase de lances, haverá o seu encerramento, com o ordenamento e divulgação dos lances, pelo sistema, em ordem crescente de classificação.</w:t>
      </w:r>
    </w:p>
    <w:p>
      <w:pPr>
        <w:pStyle w:val="Normal"/>
        <w:keepNext w:val="true"/>
        <w:keepLines w:val="false"/>
        <w:widowControl/>
        <w:numPr>
          <w:ilvl w:val="2"/>
          <w:numId w:val="3"/>
        </w:numPr>
        <w:shd w:val="clear" w:fill="auto"/>
        <w:spacing w:lineRule="auto" w:line="276" w:before="0" w:after="12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O encerramento da fase de lances ocorrerá de forma automática pontualmente no horário indicado, sem qualquer possibilidade de prorrogação e não havendo tempo aleatório ou mecanismo similar.</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libri" w:hAnsi="Calibri"/>
          <w:b/>
          <w:i w:val="false"/>
          <w:iCs w:val="false"/>
          <w:caps w:val="false"/>
          <w:smallCaps w:val="false"/>
          <w:strike w:val="false"/>
          <w:dstrike w:val="false"/>
          <w:color w:val="000000"/>
          <w:position w:val="0"/>
          <w:sz w:val="24"/>
          <w:sz w:val="24"/>
          <w:szCs w:val="24"/>
          <w:u w:val="none"/>
          <w:shd w:fill="FFFFFF" w:val="clear"/>
          <w:vertAlign w:val="baseline"/>
        </w:rPr>
        <w:t>JULGAMENTO DAS PROPOSTAS DE PREÇO</w:t>
      </w:r>
    </w:p>
    <w:p>
      <w:pPr>
        <w:pStyle w:val="Normal"/>
        <w:keepNext w:val="true"/>
        <w:keepLines w:val="false"/>
        <w:widowControl/>
        <w:numPr>
          <w:ilvl w:val="1"/>
          <w:numId w:val="3"/>
        </w:numPr>
        <w:shd w:val="clear" w:fill="auto"/>
        <w:spacing w:lineRule="auto" w:line="276" w:before="120" w:after="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Encerrada a fase de lances, será verificada a conformidade da proposta classificada em primeiro lugar quanto à adequação do objeto e à compatibilidade do preço em relação ao estipulado para a contratação.</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No caso de o preço da proposta vencedora estar acima do estimado pela Administração, poderá haver a negociação de condições mais vantajosas.</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Neste caso, será encaminhada contraproposta ao fornecedor que tenha apresentado o melhor preço, para que seja obtida melhor proposta com preço compatível ao estimado pela Administração.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Em qualquer caso, concluída a negociação, o resultado será registrado na ata do procedimento da dispensa eletrônica.</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Estando o preço compatível, será solicitado o envio da proposta e, se necessário, de documentos complementares, adequada ao último lance.</w:t>
      </w:r>
    </w:p>
    <w:p>
      <w:pPr>
        <w:pStyle w:val="Normal"/>
        <w:numPr>
          <w:ilvl w:val="1"/>
          <w:numId w:val="3"/>
        </w:numPr>
        <w:spacing w:lineRule="auto" w:line="276" w:before="120" w:after="120"/>
        <w:ind w:left="792" w:hanging="432"/>
        <w:jc w:val="both"/>
        <w:rPr>
          <w:rFonts w:ascii="Carlito " w:hAnsi="Carlito "/>
          <w:sz w:val="24"/>
          <w:szCs w:val="24"/>
        </w:rPr>
      </w:pPr>
      <w:r>
        <w:rPr>
          <w:rFonts w:ascii="Calibri" w:hAnsi="Calibri"/>
          <w:i w:val="false"/>
          <w:iCs w:val="false"/>
          <w:color w:val="000000"/>
          <w:sz w:val="24"/>
          <w:szCs w:val="24"/>
        </w:rPr>
        <w:t xml:space="preserve">O prazo de validade </w:t>
      </w:r>
      <w:r>
        <w:rPr>
          <w:rFonts w:ascii="Calibri" w:hAnsi="Calibri"/>
          <w:i w:val="false"/>
          <w:iCs w:val="false"/>
          <w:sz w:val="24"/>
          <w:szCs w:val="24"/>
        </w:rPr>
        <w:t>da</w:t>
      </w:r>
      <w:r>
        <w:rPr>
          <w:rFonts w:ascii="Calibri" w:hAnsi="Calibri"/>
          <w:i w:val="false"/>
          <w:iCs w:val="false"/>
          <w:color w:val="000000"/>
          <w:sz w:val="24"/>
          <w:szCs w:val="24"/>
        </w:rPr>
        <w:t xml:space="preserve"> proposta não será inferior a 40</w:t>
      </w:r>
      <w:r>
        <w:rPr>
          <w:rFonts w:ascii="Calibri" w:hAnsi="Calibri"/>
          <w:i w:val="false"/>
          <w:iCs w:val="false"/>
          <w:color w:val="FF0000"/>
          <w:sz w:val="24"/>
          <w:szCs w:val="24"/>
        </w:rPr>
        <w:t xml:space="preserve"> </w:t>
      </w:r>
      <w:r>
        <w:rPr>
          <w:rFonts w:ascii="Calibri" w:hAnsi="Calibri"/>
          <w:i w:val="false"/>
          <w:iCs w:val="false"/>
          <w:color w:val="000000"/>
          <w:sz w:val="24"/>
          <w:szCs w:val="24"/>
        </w:rPr>
        <w:t>(quarenta) dias</w:t>
      </w:r>
      <w:r>
        <w:rPr>
          <w:rFonts w:ascii="Calibri" w:hAnsi="Calibri"/>
          <w:b/>
          <w:i w:val="false"/>
          <w:iCs w:val="false"/>
          <w:color w:val="000000"/>
          <w:sz w:val="24"/>
          <w:szCs w:val="24"/>
        </w:rPr>
        <w:t>,</w:t>
      </w:r>
      <w:r>
        <w:rPr>
          <w:rFonts w:ascii="Calibri" w:hAnsi="Calibri"/>
          <w:i w:val="false"/>
          <w:iCs w:val="false"/>
          <w:color w:val="000000"/>
          <w:sz w:val="24"/>
          <w:szCs w:val="24"/>
        </w:rPr>
        <w:t xml:space="preserve"> a contar da data de sua apresentação.</w:t>
      </w:r>
    </w:p>
    <w:p>
      <w:pPr>
        <w:pStyle w:val="Normal"/>
        <w:keepNext w:val="true"/>
        <w:keepLines w:val="false"/>
        <w:widowControl/>
        <w:numPr>
          <w:ilvl w:val="1"/>
          <w:numId w:val="3"/>
        </w:numPr>
        <w:shd w:val="clear" w:fill="auto"/>
        <w:spacing w:lineRule="auto" w:line="276" w:before="120" w:after="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 xml:space="preserve">Será desclassificada a proposta vencedora que: </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contiver vícios insanáveis;</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não obedecer às especificações técnicas pormenorizadas neste aviso ou em seus anexos;</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apresentar preços inexequíveis ou permanecerem acima do preço máximo definido para a contratação;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não tiverem sua exequibilidade demonstrada, quando exigido pela Administração;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apresentar desconformidade com quaisquer outras exigências deste aviso ou seus anexos, desde que insanável.</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Quando o fornecedor não conseguir comprovar que possui ou possuirá recursos suficientes para executar a contento o objeto, será considerada inexequível a proposta de preços ou menor lance que:</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apresentar um ou mais valores da planilha de custo que sejam inferiores àqueles fixados em instrumentos de caráter normativo obrigatório, tais como leis, medidas provisórias e convenções coletivas de trabalho vigentes.</w:t>
      </w:r>
    </w:p>
    <w:p>
      <w:pPr>
        <w:pStyle w:val="Normal"/>
        <w:keepNext w:val="true"/>
        <w:keepLines w:val="false"/>
        <w:widowControl/>
        <w:numPr>
          <w:ilvl w:val="1"/>
          <w:numId w:val="3"/>
        </w:numPr>
        <w:shd w:val="clear" w:fill="auto"/>
        <w:spacing w:lineRule="auto" w:line="276" w:before="120" w:after="0"/>
        <w:ind w:left="792" w:right="-15"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 xml:space="preserve">Se houver indícios de inexequibilidade da proposta de preço, ou em caso da necessidade de esclarecimentos complementares, poderão ser efetuadas diligências, para que a empresa comprove a exequibilidade da proposta.  </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Erros no preenchimento da planilha não constituem motivo para a desclassificação da proposta. A planilha poderá ser ajustada pelo fornecedor, no prazo indicado pelo sistema, desde que não haja majoração do preço.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O ajuste de que trata este dispositivo se limita a sanar erros ou falhas que não alterem a substância das propostas;</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Considera-se erro no preenchimento da planilha passível de correção a indicação de recolhimento de impostos e contribuições na forma do Simples Nacional, quando não cabível esse regime.</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Para fins de análise da proposta quanto ao cumprimento das especificações do objeto, poderá ser colhida a manifestação escrita do setor requisitante do serviço ou da área especializada no objeto.</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Se a proposta ou lance vencedor for desclassificado, será examinada a proposta ou lance subsequente, e, assim sucessivamente, na ordem de classificação.</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Havendo necessidade, a sessão será suspensa, informando-se no “chat” a nova data e horário para a sua continuidade.</w:t>
      </w:r>
    </w:p>
    <w:p>
      <w:pPr>
        <w:pStyle w:val="Normal"/>
        <w:keepNext w:val="true"/>
        <w:keepLines w:val="false"/>
        <w:widowControl/>
        <w:numPr>
          <w:ilvl w:val="1"/>
          <w:numId w:val="3"/>
        </w:numPr>
        <w:shd w:val="clear" w:fill="auto"/>
        <w:spacing w:lineRule="auto" w:line="276" w:before="0" w:after="12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Encerrada a análise quanto à aceitação da proposta, se iniciará a fase de habilitação, observado o disposto neste Aviso de Contratação Direta. </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libri" w:hAnsi="Calibri"/>
          <w:b/>
          <w:i w:val="false"/>
          <w:iCs w:val="false"/>
          <w:caps w:val="false"/>
          <w:smallCaps w:val="false"/>
          <w:strike w:val="false"/>
          <w:dstrike w:val="false"/>
          <w:color w:val="000000"/>
          <w:position w:val="0"/>
          <w:sz w:val="24"/>
          <w:sz w:val="24"/>
          <w:szCs w:val="24"/>
          <w:u w:val="none"/>
          <w:shd w:fill="FFFFFF" w:val="clear"/>
          <w:vertAlign w:val="baseline"/>
        </w:rPr>
        <w:t>HABILITAÇÃO</w:t>
      </w:r>
    </w:p>
    <w:p>
      <w:pPr>
        <w:pStyle w:val="Normal"/>
        <w:keepNext w:val="true"/>
        <w:keepLines w:val="false"/>
        <w:widowControl/>
        <w:numPr>
          <w:ilvl w:val="1"/>
          <w:numId w:val="3"/>
        </w:numPr>
        <w:shd w:val="clear" w:fill="auto"/>
        <w:spacing w:lineRule="auto" w:line="276" w:before="120" w:after="0"/>
        <w:ind w:left="792" w:right="0" w:hanging="57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 xml:space="preserve">Os documentos a serem exigidos para fins de habilitação constam do </w:t>
      </w:r>
      <w:r>
        <w:rPr>
          <w:rFonts w:eastAsia="Arial" w:cs="Arial" w:ascii="Calibri" w:hAnsi="Calibri"/>
          <w:b/>
          <w:i w:val="false"/>
          <w:iCs w:val="false"/>
          <w:caps w:val="false"/>
          <w:smallCaps w:val="false"/>
          <w:strike w:val="false"/>
          <w:dstrike w:val="false"/>
          <w:color w:val="000000"/>
          <w:position w:val="0"/>
          <w:sz w:val="24"/>
          <w:sz w:val="24"/>
          <w:szCs w:val="24"/>
          <w:u w:val="none"/>
          <w:shd w:fill="FFFFFF" w:val="clear"/>
          <w:vertAlign w:val="baseline"/>
        </w:rPr>
        <w:t xml:space="preserve">ANEXO IV – DOCUMENTAÇÃO EXIGIDA PARA HABILITAÇÃO </w:t>
      </w: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deste aviso e serão solicitados do fornecedor mais bem classificado da fase de lances.</w:t>
      </w:r>
    </w:p>
    <w:p>
      <w:pPr>
        <w:pStyle w:val="Normal"/>
        <w:keepNext w:val="true"/>
        <w:keepLines w:val="false"/>
        <w:widowControl/>
        <w:numPr>
          <w:ilvl w:val="1"/>
          <w:numId w:val="3"/>
        </w:numPr>
        <w:shd w:val="clear" w:fill="auto"/>
        <w:spacing w:lineRule="auto" w:line="276" w:before="0" w:after="0"/>
        <w:ind w:left="792" w:right="0" w:hanging="57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 xml:space="preserve">Como condição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pPr>
        <w:pStyle w:val="Normal"/>
        <w:keepNext w:val="true"/>
        <w:keepLines w:val="false"/>
        <w:widowControl/>
        <w:shd w:val="clear" w:fill="auto"/>
        <w:spacing w:lineRule="auto" w:line="276" w:before="0" w:after="0"/>
        <w:ind w:left="1134" w:right="0" w:hanging="0"/>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 xml:space="preserve">a) SICAF;  </w:t>
      </w:r>
    </w:p>
    <w:p>
      <w:pPr>
        <w:pStyle w:val="Normal"/>
        <w:keepNext w:val="true"/>
        <w:keepLines w:val="false"/>
        <w:widowControl/>
        <w:shd w:val="clear" w:fill="auto"/>
        <w:spacing w:lineRule="auto" w:line="276" w:before="0" w:after="0"/>
        <w:ind w:left="1134" w:right="0" w:hanging="0"/>
        <w:jc w:val="both"/>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b) Cadastro Nacional de Empresas Inidôneas e Suspensas - CEIS, mantido pela Controladoria-Geral da União (</w:t>
      </w:r>
      <w:hyperlink r:id="rId3">
        <w:r>
          <w:rPr>
            <w:rFonts w:eastAsia="Arial" w:cs="Arial" w:ascii="Calibri" w:hAnsi="Calibri"/>
            <w:b w:val="false"/>
            <w:i w:val="false"/>
            <w:iCs w:val="false"/>
            <w:caps w:val="false"/>
            <w:smallCaps w:val="false"/>
            <w:strike w:val="false"/>
            <w:dstrike w:val="false"/>
            <w:color w:val="000080"/>
            <w:position w:val="0"/>
            <w:sz w:val="24"/>
            <w:sz w:val="24"/>
            <w:szCs w:val="24"/>
            <w:u w:val="single"/>
            <w:vertAlign w:val="baseline"/>
          </w:rPr>
          <w:t>www.portaldatransparencia.gov.br/ceis</w:t>
        </w:r>
      </w:hyperlink>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p>
    <w:p>
      <w:pPr>
        <w:pStyle w:val="Normal"/>
        <w:keepNext w:val="true"/>
        <w:keepLines w:val="false"/>
        <w:widowControl/>
        <w:shd w:val="clear" w:fill="auto"/>
        <w:spacing w:lineRule="auto" w:line="276" w:before="0" w:after="0"/>
        <w:ind w:left="1134" w:right="0" w:hanging="0"/>
        <w:jc w:val="both"/>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c) Cadastro Nacional de Condenações Cíveis por Atos de Improbidade Administrativa, mantido pelo Conselho Nacional de Justiça (</w:t>
      </w:r>
      <w:hyperlink r:id="rId4">
        <w:r>
          <w:rPr>
            <w:rFonts w:eastAsia="Arial" w:cs="Arial" w:ascii="Calibri" w:hAnsi="Calibri"/>
            <w:b w:val="false"/>
            <w:i w:val="false"/>
            <w:iCs w:val="false"/>
            <w:caps w:val="false"/>
            <w:smallCaps w:val="false"/>
            <w:strike w:val="false"/>
            <w:dstrike w:val="false"/>
            <w:color w:val="000080"/>
            <w:position w:val="0"/>
            <w:sz w:val="24"/>
            <w:sz w:val="24"/>
            <w:szCs w:val="24"/>
            <w:u w:val="single"/>
            <w:vertAlign w:val="baseline"/>
          </w:rPr>
          <w:t>www.cnj.jus.br/improbidade_adm/consultar_requerido.php</w:t>
        </w:r>
      </w:hyperlink>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p>
    <w:p>
      <w:pPr>
        <w:pStyle w:val="Normal"/>
        <w:keepNext w:val="true"/>
        <w:keepLines w:val="false"/>
        <w:widowControl/>
        <w:shd w:val="clear" w:fill="auto"/>
        <w:spacing w:lineRule="auto" w:line="276" w:before="0" w:after="0"/>
        <w:ind w:left="1134" w:right="0" w:hanging="0"/>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 xml:space="preserve">d) Lista de Inidôneos mantida pelo Tribunal de Contas da União - TCU; </w:t>
      </w:r>
    </w:p>
    <w:p>
      <w:pPr>
        <w:pStyle w:val="Normal"/>
        <w:keepNext w:val="true"/>
        <w:keepLines w:val="false"/>
        <w:widowControl/>
        <w:numPr>
          <w:ilvl w:val="2"/>
          <w:numId w:val="3"/>
        </w:numPr>
        <w:shd w:val="clear" w:fill="auto"/>
        <w:spacing w:lineRule="auto" w:line="276" w:before="0" w:after="12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Para a consulta de fornecedores pessoa jurídica poderá haver a substituição das consultas das alíneas “b”, “c” e “d” acima pela Consulta Consolidada de Pessoa Jurídica do TCU (https://certidoesapf.apps.tcu.gov.br/)</w:t>
      </w:r>
    </w:p>
    <w:p>
      <w:pPr>
        <w:pStyle w:val="Normal"/>
        <w:keepNext w:val="true"/>
        <w:keepLines w:val="false"/>
        <w:widowControl/>
        <w:numPr>
          <w:ilvl w:val="2"/>
          <w:numId w:val="3"/>
        </w:numPr>
        <w:shd w:val="clear" w:fill="auto"/>
        <w:spacing w:lineRule="auto" w:line="276" w:before="120" w:after="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A consulta aos cadastros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Normal"/>
        <w:keepNext w:val="true"/>
        <w:keepLines w:val="false"/>
        <w:widowControl/>
        <w:numPr>
          <w:ilvl w:val="3"/>
          <w:numId w:val="3"/>
        </w:numPr>
        <w:shd w:val="clear" w:fill="auto"/>
        <w:spacing w:lineRule="auto" w:line="276" w:before="0" w:after="0"/>
        <w:ind w:left="1728" w:right="0" w:hanging="648"/>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Caso conste na Consulta de Situação do Fornecedor a existência de Ocorrências Impeditivas Indiretas, o gestor diligenciará para verificar se houve fraude por parte das empresas apontadas no Relatório de Ocorrências Impeditivas Indiretas.</w:t>
      </w:r>
    </w:p>
    <w:p>
      <w:pPr>
        <w:pStyle w:val="Normal"/>
        <w:keepNext w:val="true"/>
        <w:keepLines w:val="false"/>
        <w:widowControl/>
        <w:numPr>
          <w:ilvl w:val="4"/>
          <w:numId w:val="3"/>
        </w:numPr>
        <w:shd w:val="clear" w:fill="auto"/>
        <w:spacing w:lineRule="auto" w:line="276" w:before="0" w:after="0"/>
        <w:ind w:left="2232" w:right="0" w:hanging="791"/>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A tentativa de burla será verificada por meio dos vínculos societários, linhas de fornecimento similares, dentre outros.</w:t>
      </w:r>
    </w:p>
    <w:p>
      <w:pPr>
        <w:pStyle w:val="Normal"/>
        <w:keepNext w:val="true"/>
        <w:keepLines w:val="false"/>
        <w:widowControl/>
        <w:numPr>
          <w:ilvl w:val="4"/>
          <w:numId w:val="3"/>
        </w:numPr>
        <w:shd w:val="clear" w:fill="auto"/>
        <w:spacing w:lineRule="auto" w:line="276" w:before="0" w:after="0"/>
        <w:ind w:left="2232" w:right="0" w:hanging="791"/>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O fornecedor será convocado para manifestação previamente à sua desclassificação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Constatada a existência de sanção, o fornecedor será reputado inabilitado, por falta de condição de participação.</w:t>
      </w:r>
    </w:p>
    <w:p>
      <w:pPr>
        <w:pStyle w:val="Normal"/>
        <w:keepNext w:val="true"/>
        <w:keepLines w:val="false"/>
        <w:widowControl/>
        <w:numPr>
          <w:ilvl w:val="1"/>
          <w:numId w:val="3"/>
        </w:numPr>
        <w:shd w:val="clear" w:fill="auto"/>
        <w:spacing w:lineRule="auto" w:line="276" w:before="0" w:after="0"/>
        <w:ind w:left="792" w:right="0" w:hanging="57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Caso atendidas as condições de participação, a habilitação dos fornecedores será verificada por meio do SICAF, nos documentos por ele abrangidos.</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É dever do fornecedor atualizar previamente as comprovações constantes do SICAF para que estejam vigentes na data da abertura da sessão pública, ou encaminhar, quando solicitado, a respectiva documentação atualizada.</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O descumprimento do subitem acima implicará a inabilitação do fornecedor, exceto se a consulta aos sítios eletrônicos oficiais emissores de certidões lograr êxito em encontrar a(s) certidão(ões) válida(s).</w:t>
      </w:r>
    </w:p>
    <w:p>
      <w:pPr>
        <w:pStyle w:val="Normal"/>
        <w:keepNext w:val="true"/>
        <w:keepLines w:val="false"/>
        <w:widowControl/>
        <w:numPr>
          <w:ilvl w:val="1"/>
          <w:numId w:val="3"/>
        </w:numPr>
        <w:shd w:val="clear" w:fill="auto"/>
        <w:spacing w:lineRule="auto" w:line="276" w:before="0" w:after="0"/>
        <w:ind w:left="792" w:right="0" w:hanging="57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pPr>
        <w:pStyle w:val="Normal"/>
        <w:keepNext w:val="true"/>
        <w:keepLines w:val="false"/>
        <w:widowControl/>
        <w:numPr>
          <w:ilvl w:val="1"/>
          <w:numId w:val="3"/>
        </w:numPr>
        <w:shd w:val="clear" w:fill="auto"/>
        <w:spacing w:lineRule="auto" w:line="276" w:before="0" w:after="0"/>
        <w:ind w:left="792" w:right="0" w:hanging="57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Somente haverá a necessidade de comprovação do preenchimento de requisitos mediante apresentação dos documentos originais não-digitais quando houver dúvida em relação à integridade do documento digital.</w:t>
      </w:r>
    </w:p>
    <w:p>
      <w:pPr>
        <w:pStyle w:val="Normal"/>
        <w:keepNext w:val="true"/>
        <w:keepLines w:val="false"/>
        <w:widowControl/>
        <w:numPr>
          <w:ilvl w:val="1"/>
          <w:numId w:val="3"/>
        </w:numPr>
        <w:shd w:val="clear" w:fill="auto"/>
        <w:spacing w:lineRule="auto" w:line="276" w:before="0" w:after="120"/>
        <w:ind w:left="792" w:right="0" w:hanging="57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Normal"/>
        <w:keepNext w:val="true"/>
        <w:keepLines w:val="false"/>
        <w:widowControl/>
        <w:numPr>
          <w:ilvl w:val="1"/>
          <w:numId w:val="3"/>
        </w:numPr>
        <w:shd w:val="clear" w:fill="auto"/>
        <w:spacing w:lineRule="auto" w:line="276" w:before="120" w:after="0"/>
        <w:ind w:left="792" w:right="0" w:hanging="57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O fornecedor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pPr>
        <w:pStyle w:val="Normal"/>
        <w:keepNext w:val="true"/>
        <w:keepLines w:val="false"/>
        <w:widowControl/>
        <w:numPr>
          <w:ilvl w:val="2"/>
          <w:numId w:val="3"/>
        </w:numPr>
        <w:shd w:val="clear" w:fill="auto"/>
        <w:spacing w:lineRule="auto" w:line="276" w:before="0" w:after="12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Não havendo a comprovação cumulativa dos requisitos de habilitação, a inabilitação recairá sobre o(s) item(ns) de menor(es) valor(es) cuja retirada(s) seja(m) suficiente(s) para a habilitação do fornecedor nos remanescentes.</w:t>
      </w:r>
    </w:p>
    <w:p>
      <w:pPr>
        <w:pStyle w:val="Normal"/>
        <w:keepNext w:val="true"/>
        <w:keepLines w:val="false"/>
        <w:widowControl/>
        <w:numPr>
          <w:ilvl w:val="1"/>
          <w:numId w:val="3"/>
        </w:numPr>
        <w:shd w:val="clear" w:fill="auto"/>
        <w:spacing w:lineRule="auto" w:line="276" w:before="120" w:after="0"/>
        <w:ind w:left="792" w:right="0" w:hanging="57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Havendo necessidade de analisar minuciosamente os documentos exigidos, a sessão será suspensa, sendo informada a nova data e horário para a sua continuidade.</w:t>
      </w:r>
    </w:p>
    <w:p>
      <w:pPr>
        <w:pStyle w:val="Normal"/>
        <w:keepNext w:val="true"/>
        <w:keepLines w:val="false"/>
        <w:widowControl/>
        <w:numPr>
          <w:ilvl w:val="1"/>
          <w:numId w:val="3"/>
        </w:numPr>
        <w:shd w:val="clear" w:fill="auto"/>
        <w:spacing w:lineRule="auto" w:line="276" w:before="0" w:after="0"/>
        <w:ind w:left="792" w:right="0" w:hanging="57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Será inabilitado o fornecedor que não comprovar sua habilitação, seja por não apresentar quaisquer dos documentos exigidos, ou apresentá-los em desacordo com o estabelecido neste Aviso de Contratação Direta.</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pStyle w:val="Normal"/>
        <w:keepNext w:val="true"/>
        <w:keepLines w:val="false"/>
        <w:widowControl/>
        <w:numPr>
          <w:ilvl w:val="1"/>
          <w:numId w:val="3"/>
        </w:numPr>
        <w:shd w:val="clear" w:fill="auto"/>
        <w:spacing w:lineRule="auto" w:line="276" w:before="0" w:after="120"/>
        <w:ind w:left="792" w:right="0" w:hanging="57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Constatado o atendimento às exigências de habilitação, o fornecedor será habilitado</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libri" w:hAnsi="Calibri"/>
          <w:b/>
          <w:i w:val="false"/>
          <w:iCs w:val="false"/>
          <w:caps w:val="false"/>
          <w:smallCaps w:val="false"/>
          <w:strike w:val="false"/>
          <w:dstrike w:val="false"/>
          <w:color w:val="000000"/>
          <w:position w:val="0"/>
          <w:sz w:val="24"/>
          <w:sz w:val="24"/>
          <w:szCs w:val="24"/>
          <w:u w:val="none"/>
          <w:shd w:fill="FFFFFF" w:val="clear"/>
          <w:vertAlign w:val="baseline"/>
        </w:rPr>
        <w:t>CONTRATAÇÃO</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Após a homologação e adjudicação, caso se conclua pela contratação, será  emitido a nota de empenho/pedido de material.</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O adjudicatário terá o prazo de 3 (três) dias úteis, contados a partir da data de sua convocação, para assinar o Termo de Contrato ou aceitar instrumento equivalente, conforme o caso (Nota de Empenho/Carta Contrato/Autorização/Pedido Material),</w:t>
      </w:r>
      <w:r>
        <w:rPr>
          <w:rFonts w:ascii="Calibri" w:hAnsi="Calibri"/>
          <w:i w:val="false"/>
          <w:iCs w:val="false"/>
          <w:color w:val="FF0000"/>
          <w:sz w:val="24"/>
          <w:szCs w:val="24"/>
        </w:rPr>
        <w:t xml:space="preserve"> </w:t>
      </w:r>
      <w:r>
        <w:rPr>
          <w:rFonts w:ascii="Calibri" w:hAnsi="Calibri"/>
          <w:i w:val="false"/>
          <w:iCs w:val="false"/>
          <w:color w:val="000000"/>
          <w:sz w:val="24"/>
          <w:szCs w:val="24"/>
        </w:rPr>
        <w:t xml:space="preserve">sob pena de decair do direito à contratação, sem prejuízo das sanções previstas neste Aviso de Contratação Direta. </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 xml:space="preserve">O prazo previsto para assinatura do contrato ou aceitação da nota de empenho ou instrumento equivalente poderá ser prorrogado </w:t>
      </w:r>
      <w:r>
        <w:rPr>
          <w:rFonts w:ascii="Calibri" w:hAnsi="Calibri"/>
          <w:i w:val="false"/>
          <w:iCs w:val="false"/>
          <w:sz w:val="24"/>
          <w:szCs w:val="24"/>
        </w:rPr>
        <w:t xml:space="preserve">1 (uma) vez, </w:t>
      </w:r>
      <w:r>
        <w:rPr>
          <w:rFonts w:ascii="Calibri" w:hAnsi="Calibri"/>
          <w:i w:val="false"/>
          <w:iCs w:val="false"/>
          <w:color w:val="000000"/>
          <w:sz w:val="24"/>
          <w:szCs w:val="24"/>
        </w:rPr>
        <w:t>por igual período, por solicitação justificada do adjudicatário e aceita pela Administração.</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O Aceite da Nota de Empenho ou do instrumento equivalente, emitida à empresa adjudicada, implica no reconhecimento de que:</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referida Nota está substituindo o contrato, aplicando-se à relação de negócios ali estabelecida as disposições da Lei nº 14.133, de 2021;</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a contratada se vincula à sua proposta e às previsões contidas no Aviso de Contratação Direta e seus anexos;</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 xml:space="preserve">a contratada reconhece que as hipóteses de rescisão são aquelas previstas nos artigos 137 e 138 da Lei nº 14.133/21 e reconhece os direitos da Administração previstos nos artigos 137 a 139 da mesma Lei. </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Na assinatura do contrato ou do instrumento equivalente será exigida a comprovação das condições de habilitação e contratação consignadas neste aviso, que deverão ser mantidas pelo fornecedor durante a vigência do contrato.</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libri" w:hAnsi="Calibri"/>
          <w:b/>
          <w:i w:val="false"/>
          <w:iCs w:val="false"/>
          <w:caps w:val="false"/>
          <w:smallCaps w:val="false"/>
          <w:strike w:val="false"/>
          <w:dstrike w:val="false"/>
          <w:color w:val="000000"/>
          <w:position w:val="0"/>
          <w:sz w:val="24"/>
          <w:sz w:val="24"/>
          <w:szCs w:val="24"/>
          <w:u w:val="none"/>
          <w:shd w:fill="FFFFFF" w:val="clear"/>
          <w:vertAlign w:val="baseline"/>
        </w:rPr>
        <w:t>SANÇÕES</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sz w:val="24"/>
          <w:szCs w:val="24"/>
        </w:rPr>
        <w:t xml:space="preserve">Comete infração administrativa o fornecedor que cometer quaisquer das infrações previstas no art. 155 da Lei nº 14.133, de 2021, quais sejam: </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dar causa à inexecução parcial do contrato</w:t>
      </w:r>
      <w:r>
        <w:rPr>
          <w:rFonts w:ascii="Calibri" w:hAnsi="Calibri"/>
          <w:i w:val="false"/>
          <w:iCs w:val="false"/>
          <w:sz w:val="24"/>
          <w:szCs w:val="24"/>
        </w:rPr>
        <w:t>;</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dar causa à inexecução parcial do contrato que cause grave dano à Administração, ao funcionamento dos serviços públicos ou ao interesse coletivo;</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dar causa à inexecução total do contrato;</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deixar de entregar a documentação exigida para o certame;</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não manter a proposta, salvo em decorrência de fato superveniente devidamente justificado;</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não celebrar o contrato ou não entregar a documentação exigida para a contratação, quando convocado dentro do prazo de validade de sua proposta;</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 </w:t>
      </w:r>
      <w:r>
        <w:rPr>
          <w:rFonts w:ascii="Calibri" w:hAnsi="Calibri"/>
          <w:i w:val="false"/>
          <w:iCs w:val="false"/>
          <w:color w:val="000000"/>
          <w:sz w:val="24"/>
          <w:szCs w:val="24"/>
        </w:rPr>
        <w:t>ensejar o retardamento da execução ou da entrega do objeto da licitação sem motivo justificado;</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apresentar declaração ou documentação falsa exigida para o certame ou prestar declaração falsa durante a dispensa eletrônica ou a execução do contrato;</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fraudar a dispensa eletrônica ou praticar ato fraudulento na execução do contrato;</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 </w:t>
      </w:r>
      <w:r>
        <w:rPr>
          <w:rFonts w:ascii="Calibri" w:hAnsi="Calibri"/>
          <w:i w:val="false"/>
          <w:iCs w:val="false"/>
          <w:color w:val="000000"/>
          <w:sz w:val="24"/>
          <w:szCs w:val="24"/>
        </w:rPr>
        <w:t>comportar-se de modo inidôneo ou cometer fraude de qualquer natureza;</w:t>
      </w:r>
    </w:p>
    <w:p>
      <w:pPr>
        <w:pStyle w:val="Normal"/>
        <w:keepNext w:val="true"/>
        <w:keepLines w:val="false"/>
        <w:widowControl/>
        <w:numPr>
          <w:ilvl w:val="3"/>
          <w:numId w:val="3"/>
        </w:numPr>
        <w:shd w:val="clear" w:fill="auto"/>
        <w:spacing w:lineRule="auto" w:line="276" w:before="120" w:after="120"/>
        <w:ind w:left="1728" w:right="0" w:hanging="648"/>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 </w:t>
      </w:r>
      <w:r>
        <w:rPr>
          <w:rFonts w:ascii="Calibri" w:hAnsi="Calibri"/>
          <w:i w:val="false"/>
          <w:iCs w:val="false"/>
          <w:color w:val="000000"/>
          <w:sz w:val="24"/>
          <w:szCs w:val="24"/>
        </w:rPr>
        <w:t>praticar atos ilícitos com vistas a frustrar os objetivos deste certame.</w:t>
      </w:r>
    </w:p>
    <w:p>
      <w:pPr>
        <w:pStyle w:val="Normal"/>
        <w:numPr>
          <w:ilvl w:val="2"/>
          <w:numId w:val="3"/>
        </w:numPr>
        <w:spacing w:lineRule="auto" w:line="276" w:before="120" w:after="120"/>
        <w:ind w:left="1224" w:hanging="504"/>
        <w:jc w:val="both"/>
        <w:rPr/>
      </w:pPr>
      <w:r>
        <w:rPr>
          <w:rFonts w:ascii="Calibri" w:hAnsi="Calibri"/>
          <w:i w:val="false"/>
          <w:iCs w:val="false"/>
          <w:color w:val="000000"/>
          <w:sz w:val="24"/>
          <w:szCs w:val="24"/>
        </w:rPr>
        <w:t>praticar ato lesivo previsto no </w:t>
      </w:r>
      <w:r>
        <w:fldChar w:fldCharType="begin"/>
      </w:r>
      <w:r>
        <w:rPr>
          <w:sz w:val="24"/>
          <w:i w:val="false"/>
          <w:szCs w:val="24"/>
          <w:iCs w:val="false"/>
          <w:rFonts w:ascii="Calibri" w:hAnsi="Calibri"/>
          <w:color w:val="000000"/>
        </w:rPr>
        <w:instrText xml:space="preserve"> HYPERLINK "http://www.planalto.gov.br/ccivil_03/_Ato2011-2014/2013/Lei/L12846.htm" \l "art5"</w:instrText>
      </w:r>
      <w:r>
        <w:rPr>
          <w:sz w:val="24"/>
          <w:i w:val="false"/>
          <w:szCs w:val="24"/>
          <w:iCs w:val="false"/>
          <w:rFonts w:ascii="Calibri" w:hAnsi="Calibri"/>
          <w:color w:val="000000"/>
        </w:rPr>
        <w:fldChar w:fldCharType="separate"/>
      </w:r>
      <w:r>
        <w:rPr>
          <w:rFonts w:ascii="Calibri" w:hAnsi="Calibri"/>
          <w:i w:val="false"/>
          <w:iCs w:val="false"/>
          <w:color w:val="000000"/>
          <w:sz w:val="24"/>
          <w:szCs w:val="24"/>
        </w:rPr>
        <w:t>art. 5º da Lei nº 12.846, de 1º de agosto de 2013.</w:t>
      </w:r>
      <w:r>
        <w:rPr>
          <w:sz w:val="24"/>
          <w:i w:val="false"/>
          <w:szCs w:val="24"/>
          <w:iCs w:val="false"/>
          <w:rFonts w:ascii="Calibri" w:hAnsi="Calibri"/>
          <w:color w:val="000000"/>
        </w:rPr>
        <w:fldChar w:fldCharType="end"/>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sz w:val="24"/>
          <w:szCs w:val="24"/>
        </w:rPr>
        <w:t>O fornecedor que cometer qualquer das infrações discriminadas nos subitens anteriores ficará sujeito, sem prejuízo da responsabilidade civil e criminal, às seguintes sanções:</w:t>
      </w:r>
    </w:p>
    <w:p>
      <w:pPr>
        <w:pStyle w:val="Normal"/>
        <w:numPr>
          <w:ilvl w:val="2"/>
          <w:numId w:val="2"/>
        </w:numPr>
        <w:spacing w:lineRule="auto" w:line="276" w:before="120" w:after="120"/>
        <w:ind w:left="1224" w:hanging="504"/>
        <w:jc w:val="both"/>
        <w:rPr>
          <w:rFonts w:ascii="Carlito " w:hAnsi="Carlito "/>
          <w:sz w:val="24"/>
          <w:szCs w:val="24"/>
        </w:rPr>
      </w:pPr>
      <w:r>
        <w:rPr>
          <w:rFonts w:ascii="Calibri" w:hAnsi="Calibri"/>
          <w:i w:val="false"/>
          <w:iCs w:val="false"/>
          <w:sz w:val="24"/>
          <w:szCs w:val="24"/>
        </w:rPr>
        <w:t>Advertência pela falta do subitem 8.1.1 deste Aviso de Contratação Direta, quando não se justificar a imposição de penalidade mais grave;</w:t>
      </w:r>
    </w:p>
    <w:p>
      <w:pPr>
        <w:pStyle w:val="Normal"/>
        <w:numPr>
          <w:ilvl w:val="2"/>
          <w:numId w:val="2"/>
        </w:numPr>
        <w:spacing w:lineRule="auto" w:line="276" w:before="120" w:after="120"/>
        <w:ind w:left="1224" w:hanging="504"/>
        <w:jc w:val="both"/>
        <w:rPr>
          <w:rFonts w:ascii="Carlito " w:hAnsi="Carlito "/>
          <w:sz w:val="24"/>
          <w:szCs w:val="24"/>
        </w:rPr>
      </w:pPr>
      <w:r>
        <w:rPr>
          <w:rFonts w:ascii="Calibri" w:hAnsi="Calibri"/>
          <w:i w:val="false"/>
          <w:iCs w:val="false"/>
          <w:sz w:val="24"/>
          <w:szCs w:val="24"/>
        </w:rPr>
        <w:t>Multa de</w:t>
      </w:r>
      <w:r>
        <w:rPr>
          <w:rFonts w:ascii="Calibri" w:hAnsi="Calibri"/>
          <w:i w:val="false"/>
          <w:iCs w:val="false"/>
          <w:color w:val="000000"/>
          <w:sz w:val="24"/>
          <w:szCs w:val="24"/>
        </w:rPr>
        <w:t xml:space="preserve"> 3% (três por cento)</w:t>
      </w:r>
      <w:r>
        <w:rPr>
          <w:rFonts w:ascii="Calibri" w:hAnsi="Calibri"/>
          <w:i w:val="false"/>
          <w:iCs w:val="false"/>
          <w:color w:val="FF0000"/>
          <w:sz w:val="24"/>
          <w:szCs w:val="24"/>
        </w:rPr>
        <w:t xml:space="preserve"> </w:t>
      </w:r>
      <w:r>
        <w:rPr>
          <w:rFonts w:ascii="Calibri" w:hAnsi="Calibri"/>
          <w:i w:val="false"/>
          <w:iCs w:val="false"/>
          <w:sz w:val="24"/>
          <w:szCs w:val="24"/>
        </w:rPr>
        <w:t>sobre o valor estimado do(s) item(s) prejudicado(s) pela conduta do fornecedor, por qualquer das infrações dos subitens 8.1.1 a 8.1.12;</w:t>
      </w:r>
    </w:p>
    <w:p>
      <w:pPr>
        <w:pStyle w:val="Normal"/>
        <w:numPr>
          <w:ilvl w:val="2"/>
          <w:numId w:val="2"/>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Impedimento de licitar e contratar</w:t>
      </w:r>
      <w:r>
        <w:rPr>
          <w:rFonts w:ascii="Calibri" w:hAnsi="Calibri"/>
          <w:i w:val="false"/>
          <w:iCs w:val="false"/>
          <w:sz w:val="24"/>
          <w:szCs w:val="24"/>
        </w:rPr>
        <w:t xml:space="preserve"> </w:t>
      </w:r>
      <w:r>
        <w:rPr>
          <w:rFonts w:ascii="Calibri" w:hAnsi="Calibri"/>
          <w:i w:val="false"/>
          <w:iCs w:val="false"/>
          <w:color w:val="000000"/>
          <w:sz w:val="24"/>
          <w:szCs w:val="24"/>
        </w:rPr>
        <w:t>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Pr>
          <w:rFonts w:ascii="Calibri" w:hAnsi="Calibri"/>
          <w:i w:val="false"/>
          <w:iCs w:val="false"/>
          <w:sz w:val="24"/>
          <w:szCs w:val="24"/>
        </w:rPr>
        <w:t>;</w:t>
      </w:r>
    </w:p>
    <w:p>
      <w:pPr>
        <w:pStyle w:val="Normal"/>
        <w:numPr>
          <w:ilvl w:val="2"/>
          <w:numId w:val="2"/>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Pr>
          <w:rFonts w:ascii="Calibri" w:hAnsi="Calibri"/>
          <w:i w:val="false"/>
          <w:iCs w:val="false"/>
          <w:sz w:val="24"/>
          <w:szCs w:val="24"/>
        </w:rPr>
        <w:t>;</w:t>
      </w:r>
    </w:p>
    <w:p>
      <w:pPr>
        <w:pStyle w:val="Normal"/>
        <w:numPr>
          <w:ilvl w:val="1"/>
          <w:numId w:val="3"/>
        </w:numPr>
        <w:spacing w:lineRule="auto" w:line="276" w:before="120" w:after="120"/>
        <w:ind w:left="792" w:hanging="432"/>
        <w:jc w:val="both"/>
        <w:rPr>
          <w:rFonts w:ascii="Carlito " w:hAnsi="Carlito "/>
          <w:sz w:val="24"/>
          <w:szCs w:val="24"/>
        </w:rPr>
      </w:pPr>
      <w:r>
        <w:rPr>
          <w:rFonts w:ascii="Calibri" w:hAnsi="Calibri"/>
          <w:i w:val="false"/>
          <w:iCs w:val="false"/>
          <w:sz w:val="24"/>
          <w:szCs w:val="24"/>
        </w:rPr>
        <w:t>Na aplicação das sanções serão considerados:</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sz w:val="24"/>
          <w:szCs w:val="24"/>
        </w:rPr>
        <w:t>a natureza e a gravidade da infração cometida;</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sz w:val="24"/>
          <w:szCs w:val="24"/>
        </w:rPr>
        <w:t>as peculiaridades do caso concreto;</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sz w:val="24"/>
          <w:szCs w:val="24"/>
        </w:rPr>
        <w:t>as circunstâncias agravantes ou atenuantes;</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sz w:val="24"/>
          <w:szCs w:val="24"/>
        </w:rPr>
        <w:t>os danos que dela provierem para a Administração Pública;</w:t>
      </w:r>
    </w:p>
    <w:p>
      <w:pPr>
        <w:pStyle w:val="Normal"/>
        <w:numPr>
          <w:ilvl w:val="2"/>
          <w:numId w:val="3"/>
        </w:numPr>
        <w:spacing w:lineRule="auto" w:line="276" w:before="120" w:after="120"/>
        <w:ind w:left="1224" w:hanging="504"/>
        <w:jc w:val="both"/>
        <w:rPr>
          <w:rFonts w:ascii="Carlito " w:hAnsi="Carlito "/>
          <w:sz w:val="24"/>
          <w:szCs w:val="24"/>
        </w:rPr>
      </w:pPr>
      <w:bookmarkStart w:id="0" w:name="30j0zll"/>
      <w:bookmarkStart w:id="1" w:name="1fob9te"/>
      <w:bookmarkStart w:id="2" w:name="3znysh7"/>
      <w:bookmarkEnd w:id="0"/>
      <w:bookmarkEnd w:id="1"/>
      <w:bookmarkEnd w:id="2"/>
      <w:r>
        <w:rPr>
          <w:rFonts w:ascii="Calibri" w:hAnsi="Calibri"/>
          <w:i w:val="false"/>
          <w:iCs w:val="false"/>
          <w:sz w:val="24"/>
          <w:szCs w:val="24"/>
        </w:rPr>
        <w:t>a implantação ou o aperfeiçoamento de programa de integridade, conforme normas e orientações dos órgãos de controle.</w:t>
      </w:r>
    </w:p>
    <w:p>
      <w:pPr>
        <w:pStyle w:val="Normal"/>
        <w:numPr>
          <w:ilvl w:val="1"/>
          <w:numId w:val="3"/>
        </w:numPr>
        <w:spacing w:lineRule="auto" w:line="276" w:before="120" w:after="120"/>
        <w:ind w:left="425" w:hanging="0"/>
        <w:jc w:val="both"/>
        <w:rPr>
          <w:rFonts w:ascii="Carlito " w:hAnsi="Carlito "/>
          <w:sz w:val="24"/>
          <w:szCs w:val="24"/>
        </w:rPr>
      </w:pPr>
      <w:bookmarkStart w:id="3" w:name="2et92p0"/>
      <w:bookmarkEnd w:id="3"/>
      <w:r>
        <w:rPr>
          <w:rFonts w:ascii="Calibri" w:hAnsi="Calibri"/>
          <w:i w:val="false"/>
          <w:iCs w:val="false"/>
          <w:sz w:val="24"/>
          <w:szCs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sz w:val="24"/>
          <w:szCs w:val="24"/>
        </w:rPr>
        <w:t>A aplicação das sanções previstas neste Aviso de Contratação Direta, em hipótese alguma, a obrigação de reparação integral do dano causado à Administração Pública.</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sz w:val="24"/>
          <w:szCs w:val="24"/>
        </w:rPr>
        <w:t>A penalidade de multa pode ser aplicada cumulativamente com as demais sanções.</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sz w:val="24"/>
          <w:szCs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sz w:val="24"/>
          <w:szCs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sz w:val="24"/>
          <w:szCs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sz w:val="24"/>
          <w:szCs w:val="24"/>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sz w:val="24"/>
          <w:szCs w:val="24"/>
        </w:rPr>
        <w:t>As sanções por atos praticados no decorrer da contratação estão previstas nos anexos a este Aviso.</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libri" w:hAnsi="Calibri"/>
          <w:b/>
          <w:i w:val="false"/>
          <w:iCs w:val="false"/>
          <w:caps w:val="false"/>
          <w:smallCaps w:val="false"/>
          <w:strike w:val="false"/>
          <w:dstrike w:val="false"/>
          <w:color w:val="000000"/>
          <w:position w:val="0"/>
          <w:sz w:val="24"/>
          <w:sz w:val="24"/>
          <w:szCs w:val="24"/>
          <w:u w:val="none"/>
          <w:shd w:fill="FFFFFF" w:val="clear"/>
          <w:vertAlign w:val="baseline"/>
        </w:rPr>
        <w:t>DOS RECURSOS ORÇAMENTÁRIOS</w:t>
      </w:r>
    </w:p>
    <w:p>
      <w:pPr>
        <w:pStyle w:val="Nivel1"/>
        <w:numPr>
          <w:ilvl w:val="1"/>
          <w:numId w:val="3"/>
        </w:numPr>
        <w:spacing w:before="120" w:after="120"/>
        <w:ind w:left="716" w:right="-30" w:hanging="0"/>
        <w:jc w:val="both"/>
        <w:rPr>
          <w:rFonts w:ascii="Carlito " w:hAnsi="Carlito "/>
          <w:sz w:val="24"/>
          <w:szCs w:val="24"/>
        </w:rPr>
      </w:pPr>
      <w:r>
        <w:rPr>
          <w:rFonts w:cs="Arial" w:ascii="Calibri" w:hAnsi="Calibri"/>
          <w:b w:val="false"/>
          <w:bCs w:val="false"/>
          <w:i w:val="false"/>
          <w:iCs w:val="false"/>
          <w:color w:val="000000"/>
          <w:sz w:val="24"/>
          <w:szCs w:val="24"/>
          <w:highlight w:val="white"/>
        </w:rPr>
        <w:t>As despesas decorrentes da presente contratação correrão à conta de recursos específicos consignados no Orçamento Geral da União deste exercício, na dotação abaixo discriminada:</w:t>
      </w:r>
    </w:p>
    <w:p>
      <w:pPr>
        <w:pStyle w:val="Normal"/>
        <w:numPr>
          <w:ilvl w:val="0"/>
          <w:numId w:val="0"/>
        </w:numPr>
        <w:spacing w:lineRule="auto" w:line="276" w:before="120" w:after="120"/>
        <w:ind w:left="1494" w:hanging="0"/>
        <w:jc w:val="both"/>
        <w:rPr/>
      </w:pPr>
      <w:r>
        <w:rPr>
          <w:rFonts w:cs="Arial"/>
          <w:sz w:val="24"/>
          <w:szCs w:val="24"/>
          <w:shd w:fill="auto" w:val="clear"/>
        </w:rPr>
        <w:t xml:space="preserve">Gestão/Unidade: 0001/795400 </w:t>
      </w:r>
    </w:p>
    <w:p>
      <w:pPr>
        <w:pStyle w:val="Normal"/>
        <w:numPr>
          <w:ilvl w:val="0"/>
          <w:numId w:val="0"/>
        </w:numPr>
        <w:spacing w:lineRule="auto" w:line="276" w:before="120" w:after="120"/>
        <w:ind w:left="1494" w:hanging="0"/>
        <w:jc w:val="both"/>
        <w:rPr>
          <w:rFonts w:cs="Arial"/>
          <w:color w:val="000000"/>
          <w:sz w:val="24"/>
          <w:szCs w:val="24"/>
        </w:rPr>
      </w:pPr>
      <w:r>
        <w:rPr>
          <w:rFonts w:cs="Arial"/>
          <w:sz w:val="24"/>
          <w:szCs w:val="24"/>
          <w:shd w:fill="auto" w:val="clear"/>
        </w:rPr>
        <w:t xml:space="preserve">Fonte: </w:t>
      </w:r>
      <w:bookmarkStart w:id="4" w:name="manterPage%25252525253Aform%25252525253A"/>
      <w:bookmarkEnd w:id="4"/>
      <w:r>
        <w:rPr>
          <w:rFonts w:cs="Arial"/>
          <w:color w:val="000000"/>
          <w:sz w:val="24"/>
          <w:szCs w:val="24"/>
        </w:rPr>
        <w:t>1115000000/</w:t>
      </w:r>
      <w:bookmarkStart w:id="5" w:name="manterPage%25252525253Aform%25252525253A"/>
      <w:bookmarkEnd w:id="5"/>
      <w:r>
        <w:rPr>
          <w:rFonts w:cs="Arial"/>
          <w:color w:val="000000"/>
          <w:sz w:val="24"/>
          <w:szCs w:val="24"/>
        </w:rPr>
        <w:t>1000000000</w:t>
      </w:r>
    </w:p>
    <w:p>
      <w:pPr>
        <w:pStyle w:val="Normal"/>
        <w:numPr>
          <w:ilvl w:val="0"/>
          <w:numId w:val="0"/>
        </w:numPr>
        <w:spacing w:lineRule="auto" w:line="276" w:before="120" w:after="120"/>
        <w:ind w:left="1494" w:hanging="0"/>
        <w:jc w:val="both"/>
        <w:rPr/>
      </w:pPr>
      <w:r>
        <w:rPr>
          <w:rFonts w:cs="Arial"/>
          <w:sz w:val="24"/>
          <w:szCs w:val="24"/>
          <w:shd w:fill="auto" w:val="clear"/>
        </w:rPr>
        <w:t>Programa de Trabalho: 174678/168613</w:t>
      </w:r>
    </w:p>
    <w:p>
      <w:pPr>
        <w:pStyle w:val="Normal"/>
        <w:numPr>
          <w:ilvl w:val="0"/>
          <w:numId w:val="0"/>
        </w:numPr>
        <w:spacing w:lineRule="auto" w:line="276" w:before="120" w:after="120"/>
        <w:ind w:left="1494" w:hanging="0"/>
        <w:jc w:val="both"/>
        <w:rPr/>
      </w:pPr>
      <w:r>
        <w:rPr>
          <w:rFonts w:cs="Arial"/>
          <w:sz w:val="24"/>
          <w:szCs w:val="24"/>
          <w:shd w:fill="auto" w:val="clear"/>
        </w:rPr>
        <w:t>Elemento de Despesa: 339039</w:t>
      </w:r>
    </w:p>
    <w:p>
      <w:pPr>
        <w:pStyle w:val="Normal"/>
        <w:numPr>
          <w:ilvl w:val="0"/>
          <w:numId w:val="0"/>
        </w:numPr>
        <w:spacing w:lineRule="auto" w:line="276" w:before="120" w:after="120"/>
        <w:ind w:left="1494" w:hanging="0"/>
        <w:jc w:val="both"/>
        <w:rPr/>
      </w:pPr>
      <w:r>
        <w:rPr>
          <w:rFonts w:eastAsia="Arial" w:cs="Arial" w:ascii="Calibri" w:hAnsi="Calibri"/>
          <w:b w:val="false"/>
          <w:bCs w:val="false"/>
          <w:i w:val="false"/>
          <w:iCs w:val="false"/>
          <w:caps w:val="false"/>
          <w:smallCaps w:val="false"/>
          <w:strike w:val="false"/>
          <w:dstrike w:val="false"/>
          <w:color w:val="000000"/>
          <w:kern w:val="0"/>
          <w:position w:val="0"/>
          <w:sz w:val="24"/>
          <w:sz w:val="24"/>
          <w:szCs w:val="24"/>
          <w:u w:val="none"/>
          <w:shd w:fill="auto" w:val="clear"/>
          <w:vertAlign w:val="baseline"/>
          <w:lang w:val="pt-BR" w:eastAsia="zh-CN" w:bidi="hi-IN"/>
        </w:rPr>
        <w:t xml:space="preserve">PI: </w:t>
      </w:r>
      <w:bookmarkStart w:id="6" w:name="manterPage%25252525253Aform%25252525253A"/>
      <w:bookmarkEnd w:id="6"/>
      <w:r>
        <w:rPr>
          <w:rFonts w:eastAsia="Arial" w:cs="Arial" w:ascii="Calibri" w:hAnsi="Calibri"/>
          <w:b w:val="false"/>
          <w:bCs w:val="false"/>
          <w:i w:val="false"/>
          <w:iCs w:val="false"/>
          <w:caps w:val="false"/>
          <w:smallCaps w:val="false"/>
          <w:strike w:val="false"/>
          <w:dstrike w:val="false"/>
          <w:color w:val="000000"/>
          <w:kern w:val="0"/>
          <w:position w:val="0"/>
          <w:sz w:val="24"/>
          <w:sz w:val="24"/>
          <w:szCs w:val="24"/>
          <w:u w:val="none"/>
          <w:vertAlign w:val="baseline"/>
          <w:lang w:val="pt-BR" w:eastAsia="zh-CN" w:bidi="hi-IN"/>
        </w:rPr>
        <w:t>Y.3E2.E4.2.0.1.L0/</w:t>
      </w:r>
      <w:bookmarkStart w:id="7" w:name="manterPage%25252525253Aform%25252525253A"/>
      <w:bookmarkEnd w:id="7"/>
      <w:r>
        <w:rPr>
          <w:rFonts w:eastAsia="Arial" w:cs="Arial" w:ascii="Calibri" w:hAnsi="Calibri"/>
          <w:b w:val="false"/>
          <w:bCs w:val="false"/>
          <w:i w:val="false"/>
          <w:iCs w:val="false"/>
          <w:caps w:val="false"/>
          <w:smallCaps w:val="false"/>
          <w:strike w:val="false"/>
          <w:dstrike w:val="false"/>
          <w:color w:val="000000"/>
          <w:kern w:val="0"/>
          <w:position w:val="0"/>
          <w:sz w:val="24"/>
          <w:sz w:val="24"/>
          <w:szCs w:val="24"/>
          <w:u w:val="none"/>
          <w:vertAlign w:val="baseline"/>
          <w:lang w:val="pt-BR" w:eastAsia="zh-CN" w:bidi="hi-IN"/>
        </w:rPr>
        <w:t>O.CS6.00.0.1.0.00</w:t>
      </w:r>
    </w:p>
    <w:p>
      <w:pPr>
        <w:pStyle w:val="Normal"/>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libri" w:hAnsi="Calibri"/>
          <w:b/>
          <w:i w:val="false"/>
          <w:iCs w:val="false"/>
          <w:caps w:val="false"/>
          <w:smallCaps w:val="false"/>
          <w:strike w:val="false"/>
          <w:dstrike w:val="false"/>
          <w:color w:val="000000"/>
          <w:position w:val="0"/>
          <w:sz w:val="24"/>
          <w:sz w:val="24"/>
          <w:szCs w:val="24"/>
          <w:u w:val="none"/>
          <w:shd w:fill="FFFFFF" w:val="clear"/>
          <w:vertAlign w:val="baseline"/>
        </w:rPr>
        <w:t>DAS DISPOSIÇÕES GERAIS</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sz w:val="24"/>
          <w:szCs w:val="24"/>
        </w:rPr>
        <w:t>O procedimento será divulgado no Comprasnet 4.0 e no Portal Nacional de Contratações Públicas - PNCP, e encaminhado automaticamente aos fornecedores registrados no Sistema de Registro Cadastral Unificado - Sicaf, por mensagem eletrônica, na correspondente linha de fornecimento que pretende atender.</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No caso de todos os fornecedores restarem desclassificados ou inabilitados (procedimento fracassado), a Administração poderá:</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republicar o presente aviso com uma nova data;</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valer-se, para a contratação, de proposta obtida na pesquisa de preços que serviu de base ao procedimento, se houver, privilegiando-se os menores preços, sempre que possível, e desde que atendidas às condições de habilitação exigidas.</w:t>
      </w:r>
    </w:p>
    <w:p>
      <w:pPr>
        <w:pStyle w:val="Normal"/>
        <w:numPr>
          <w:ilvl w:val="3"/>
          <w:numId w:val="3"/>
        </w:numPr>
        <w:spacing w:lineRule="auto" w:line="276" w:before="120" w:after="120"/>
        <w:ind w:left="1728" w:hanging="648"/>
        <w:jc w:val="both"/>
        <w:rPr>
          <w:rFonts w:ascii="Carlito " w:hAnsi="Carlito "/>
          <w:sz w:val="24"/>
          <w:szCs w:val="24"/>
        </w:rPr>
      </w:pPr>
      <w:r>
        <w:rPr>
          <w:rFonts w:ascii="Calibri" w:hAnsi="Calibri"/>
          <w:i w:val="false"/>
          <w:iCs w:val="false"/>
          <w:color w:val="000000"/>
          <w:sz w:val="24"/>
          <w:szCs w:val="24"/>
        </w:rPr>
        <w:t>No caso do subitem anterior, a contratação será operacionalizada fora deste procedimento.</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fixar prazo para que possa haver adequação das propostas ou da documentação de habilitação, conforme o caso.</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As providências dos subitens 9.2.1 e 9.2.2 acima poderão ser utilizadas se não houver o comparecimento de quaisquer fornecedores interessados (procedimento deserto)</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Havendo a necessidade de realização de ato de qualquer natureza pelos fornecedores, cujo prazo não conste deste Aviso de Contratação Direta, deverá ser atendido o prazo indicado pelo agente competente da Administração na respectiva notificação.</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Caberá ao fornecedor acompanhar as operações, ficando responsável pelo ônus decorrente da perda do negócio diante da inobservância de quaisquer mensagens emitidas pela Administração ou de sua desconexão.</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Os horários estabelecidos na divulgação deste procedimento e durante o envio de lances observarão o horário de Brasília-DF, inclusive para contagem de tempo e registro no Sistema e na documentação relativa ao procedimento.</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Os fornecedores assumem todos os custos de preparação e apresentação de suas propostas e a Administração não será, em nenhum caso, responsável por esses custos, independentemente da condução ou do resultado do processo de contratação.</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Em caso de divergência entre disposições deste Aviso de Contratação Direta e de seus anexos ou demais peças que compõem o processo, prevalecerá as deste Aviso.</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Da sessão pública será divulgada Ata no sistema eletrônico.</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Integram este Aviso de Contratação Direta, para todos os fins e efeitos, os seguintes anexos:</w:t>
      </w:r>
    </w:p>
    <w:p>
      <w:pPr>
        <w:pStyle w:val="Normal"/>
        <w:numPr>
          <w:ilvl w:val="2"/>
          <w:numId w:val="3"/>
        </w:numPr>
        <w:spacing w:lineRule="auto" w:line="276" w:before="120" w:after="120"/>
        <w:jc w:val="both"/>
        <w:rPr>
          <w:rFonts w:ascii="Carlito " w:hAnsi="Carlito "/>
          <w:sz w:val="24"/>
          <w:szCs w:val="24"/>
        </w:rPr>
      </w:pPr>
      <w:r>
        <w:rPr>
          <w:rFonts w:ascii="Calibri" w:hAnsi="Calibri"/>
          <w:i w:val="false"/>
          <w:iCs w:val="false"/>
          <w:color w:val="000000"/>
          <w:sz w:val="24"/>
          <w:szCs w:val="24"/>
        </w:rPr>
        <w:t>ANEXO I – Formalização da demanda;</w:t>
      </w:r>
    </w:p>
    <w:p>
      <w:pPr>
        <w:pStyle w:val="Normal"/>
        <w:numPr>
          <w:ilvl w:val="2"/>
          <w:numId w:val="3"/>
        </w:numPr>
        <w:spacing w:lineRule="auto" w:line="276" w:before="120" w:after="120"/>
        <w:jc w:val="both"/>
        <w:rPr>
          <w:rFonts w:ascii="Carlito " w:hAnsi="Carlito "/>
          <w:sz w:val="24"/>
          <w:szCs w:val="24"/>
        </w:rPr>
      </w:pPr>
      <w:r>
        <w:rPr>
          <w:rFonts w:ascii="Calibri" w:hAnsi="Calibri"/>
          <w:i w:val="false"/>
          <w:iCs w:val="false"/>
          <w:color w:val="000000"/>
          <w:sz w:val="24"/>
          <w:szCs w:val="24"/>
        </w:rPr>
        <w:t xml:space="preserve">ANEXO II - Ato de Autorização; </w:t>
      </w:r>
    </w:p>
    <w:p>
      <w:pPr>
        <w:pStyle w:val="Normal"/>
        <w:numPr>
          <w:ilvl w:val="2"/>
          <w:numId w:val="3"/>
        </w:numPr>
        <w:spacing w:lineRule="auto" w:line="276" w:before="120" w:after="120"/>
        <w:jc w:val="both"/>
        <w:rPr>
          <w:rFonts w:ascii="Calibri" w:hAnsi="Calibri"/>
          <w:sz w:val="24"/>
          <w:szCs w:val="24"/>
        </w:rPr>
      </w:pPr>
      <w:r>
        <w:rPr>
          <w:rFonts w:ascii="Calibri" w:hAnsi="Calibri"/>
          <w:i w:val="false"/>
          <w:iCs w:val="false"/>
          <w:color w:val="000000"/>
          <w:sz w:val="24"/>
          <w:szCs w:val="24"/>
        </w:rPr>
        <w:t xml:space="preserve">ANEXO III –Termo de Referência; </w:t>
      </w:r>
    </w:p>
    <w:p>
      <w:pPr>
        <w:pStyle w:val="Normal"/>
        <w:numPr>
          <w:ilvl w:val="2"/>
          <w:numId w:val="3"/>
        </w:numPr>
        <w:spacing w:lineRule="auto" w:line="276" w:before="120" w:after="120"/>
        <w:jc w:val="both"/>
        <w:rPr>
          <w:rFonts w:ascii="Calibri" w:hAnsi="Calibri"/>
          <w:sz w:val="24"/>
          <w:szCs w:val="24"/>
        </w:rPr>
      </w:pPr>
      <w:r>
        <w:rPr>
          <w:rFonts w:ascii="Calibri" w:hAnsi="Calibri"/>
          <w:i w:val="false"/>
          <w:iCs w:val="false"/>
          <w:color w:val="000000"/>
          <w:sz w:val="24"/>
          <w:szCs w:val="24"/>
        </w:rPr>
        <w:t>ANEXO IV – Documentação exigida para Habilitação; e</w:t>
      </w:r>
    </w:p>
    <w:p>
      <w:pPr>
        <w:pStyle w:val="Normal"/>
        <w:spacing w:lineRule="auto" w:line="276" w:before="120" w:after="120"/>
        <w:jc w:val="both"/>
        <w:rPr>
          <w:rFonts w:ascii="Calibri" w:hAnsi="Calibri"/>
          <w:i w:val="false"/>
          <w:i w:val="false"/>
          <w:iCs w:val="false"/>
          <w:color w:val="000000"/>
          <w:sz w:val="24"/>
          <w:szCs w:val="24"/>
        </w:rPr>
      </w:pPr>
      <w:r>
        <w:rPr>
          <w:rFonts w:ascii="Calibri" w:hAnsi="Calibri"/>
          <w:i w:val="false"/>
          <w:iCs w:val="false"/>
          <w:color w:val="000000"/>
          <w:sz w:val="24"/>
          <w:szCs w:val="24"/>
        </w:rPr>
      </w:r>
    </w:p>
    <w:p>
      <w:pPr>
        <w:pStyle w:val="Normal"/>
        <w:numPr>
          <w:ilvl w:val="0"/>
          <w:numId w:val="0"/>
        </w:numPr>
        <w:spacing w:lineRule="auto" w:line="276" w:before="120" w:after="120"/>
        <w:ind w:left="1224" w:hanging="0"/>
        <w:jc w:val="both"/>
        <w:rPr>
          <w:i w:val="false"/>
          <w:i w:val="false"/>
          <w:iCs w:val="false"/>
          <w:color w:val="000000"/>
        </w:rPr>
      </w:pPr>
      <w:r>
        <w:rPr>
          <w:i w:val="false"/>
          <w:iCs w:val="false"/>
          <w:color w:val="000000"/>
        </w:rPr>
      </w:r>
    </w:p>
    <w:p>
      <w:pPr>
        <w:pStyle w:val="Normal"/>
        <w:spacing w:lineRule="auto" w:line="276" w:before="0" w:after="120"/>
        <w:ind w:left="360" w:right="-15" w:hanging="0"/>
        <w:jc w:val="both"/>
        <w:rPr>
          <w:rFonts w:ascii="Carlito " w:hAnsi="Carlito "/>
          <w:sz w:val="24"/>
          <w:szCs w:val="24"/>
        </w:rPr>
      </w:pPr>
      <w:r>
        <w:rPr>
          <w:rFonts w:ascii="Calibri" w:hAnsi="Calibri"/>
          <w:i w:val="false"/>
          <w:iCs w:val="false"/>
          <w:color w:val="000000"/>
          <w:sz w:val="24"/>
          <w:szCs w:val="24"/>
        </w:rPr>
        <w:t>Rio de Janeiro ,       de                    de 202</w:t>
      </w:r>
      <w:r>
        <w:rPr>
          <w:rFonts w:ascii="Calibri" w:hAnsi="Calibri"/>
          <w:i w:val="false"/>
          <w:iCs w:val="false"/>
          <w:color w:val="000000"/>
          <w:sz w:val="24"/>
          <w:szCs w:val="24"/>
        </w:rPr>
        <w:t>4</w:t>
      </w:r>
    </w:p>
    <w:p>
      <w:pPr>
        <w:pStyle w:val="Normal"/>
        <w:spacing w:lineRule="auto" w:line="276" w:before="0" w:after="120"/>
        <w:ind w:left="360" w:right="-15" w:hanging="0"/>
        <w:jc w:val="both"/>
        <w:rPr>
          <w:rFonts w:ascii="Calibri" w:hAnsi="Calibri"/>
          <w:i w:val="false"/>
          <w:i w:val="false"/>
          <w:iCs w:val="false"/>
          <w:color w:val="000000"/>
          <w:sz w:val="24"/>
          <w:szCs w:val="24"/>
        </w:rPr>
      </w:pPr>
      <w:r>
        <w:rPr>
          <w:rFonts w:ascii="Calibri" w:hAnsi="Calibri"/>
          <w:i w:val="false"/>
          <w:iCs w:val="false"/>
          <w:color w:val="000000"/>
          <w:sz w:val="24"/>
          <w:szCs w:val="24"/>
        </w:rPr>
      </w:r>
    </w:p>
    <w:p>
      <w:pPr>
        <w:pStyle w:val="Calibri"/>
        <w:rPr>
          <w:rFonts w:ascii="Carlito " w:hAnsi="Carlito "/>
          <w:sz w:val="24"/>
          <w:szCs w:val="24"/>
        </w:rPr>
      </w:pPr>
      <w:r>
        <w:rPr>
          <w:sz w:val="24"/>
          <w:szCs w:val="24"/>
        </w:rPr>
        <w:t>_____________________________________</w:t>
      </w:r>
    </w:p>
    <w:p>
      <w:pPr>
        <w:pStyle w:val="Normal"/>
        <w:bidi w:val="0"/>
        <w:jc w:val="center"/>
        <w:rPr>
          <w:rFonts w:ascii="Carlito" w:hAnsi="Carlito" w:eastAsia="Times New Roman" w:cs="Times New Roman"/>
          <w:b w:val="false"/>
          <w:b w:val="false"/>
          <w:bCs w:val="false"/>
          <w:color w:val="000000"/>
          <w:sz w:val="24"/>
          <w:szCs w:val="24"/>
          <w:shd w:fill="auto" w:val="clear"/>
        </w:rPr>
      </w:pPr>
      <w:r>
        <w:rPr>
          <w:rFonts w:eastAsia="Times New Roman" w:cs="Arial" w:ascii="Carlito" w:hAnsi="Carlito"/>
          <w:b w:val="false"/>
          <w:bCs/>
          <w:i w:val="false"/>
          <w:iCs/>
          <w:strike w:val="false"/>
          <w:dstrike w:val="false"/>
          <w:outline w:val="false"/>
          <w:shadow w:val="false"/>
          <w:color w:val="000000"/>
          <w:sz w:val="24"/>
          <w:szCs w:val="24"/>
          <w:u w:val="none"/>
          <w:shd w:fill="auto" w:val="clear"/>
          <w:em w:val="none"/>
        </w:rPr>
        <w:t xml:space="preserve">HUGO MARCIO LIMA </w:t>
      </w:r>
      <w:r>
        <w:rPr>
          <w:rFonts w:eastAsia="Times New Roman" w:cs="Arial" w:ascii="Carlito" w:hAnsi="Carlito"/>
          <w:b/>
          <w:bCs/>
          <w:i w:val="false"/>
          <w:iCs/>
          <w:strike w:val="false"/>
          <w:dstrike w:val="false"/>
          <w:outline w:val="false"/>
          <w:shadow w:val="false"/>
          <w:color w:val="000000"/>
          <w:sz w:val="24"/>
          <w:szCs w:val="24"/>
          <w:u w:val="none"/>
          <w:shd w:fill="auto" w:val="clear"/>
          <w:em w:val="none"/>
        </w:rPr>
        <w:t>GODINHO</w:t>
      </w:r>
    </w:p>
    <w:p>
      <w:pPr>
        <w:pStyle w:val="Normal"/>
        <w:spacing w:lineRule="auto" w:line="240" w:before="0" w:after="0"/>
        <w:jc w:val="center"/>
        <w:rPr>
          <w:rFonts w:ascii="Carlito" w:hAnsi="Carlito"/>
        </w:rPr>
      </w:pPr>
      <w:r>
        <w:rPr>
          <w:rFonts w:ascii="Carlito" w:hAnsi="Carlito"/>
          <w:b w:val="false"/>
          <w:bCs w:val="false"/>
          <w:sz w:val="24"/>
          <w:szCs w:val="24"/>
        </w:rPr>
        <w:t>C</w:t>
      </w:r>
      <w:r>
        <w:rPr>
          <w:rFonts w:ascii="Carlito" w:hAnsi="Carlito"/>
          <w:b w:val="false"/>
          <w:bCs w:val="false"/>
          <w:sz w:val="24"/>
          <w:szCs w:val="24"/>
        </w:rPr>
        <w:t>F</w:t>
      </w:r>
      <w:r>
        <w:rPr>
          <w:rFonts w:ascii="Carlito" w:hAnsi="Carlito"/>
          <w:b w:val="false"/>
          <w:bCs w:val="false"/>
          <w:sz w:val="24"/>
          <w:szCs w:val="24"/>
        </w:rPr>
        <w:t xml:space="preserve"> (FN)</w:t>
      </w:r>
    </w:p>
    <w:p>
      <w:pPr>
        <w:pStyle w:val="Normal"/>
        <w:spacing w:lineRule="atLeast" w:line="283"/>
        <w:jc w:val="center"/>
        <w:rPr>
          <w:rFonts w:ascii="Carlito" w:hAnsi="Carlito"/>
        </w:rPr>
      </w:pPr>
      <w:r>
        <w:rPr>
          <w:rFonts w:eastAsia="Times New Roman" w:cs="Arial" w:ascii="Carlito" w:hAnsi="Carlito"/>
          <w:b w:val="false"/>
          <w:bCs w:val="false"/>
          <w:i w:val="false"/>
          <w:iCs/>
          <w:strike w:val="false"/>
          <w:dstrike w:val="false"/>
          <w:outline w:val="false"/>
          <w:shadow w:val="false"/>
          <w:color w:val="000000"/>
          <w:sz w:val="24"/>
          <w:szCs w:val="24"/>
          <w:u w:val="none"/>
          <w:em w:val="none"/>
        </w:rPr>
        <w:t xml:space="preserve">Ordenador de Despesas </w:t>
      </w:r>
      <w:r>
        <w:rPr>
          <w:rFonts w:eastAsia="Times New Roman" w:cs="Arial" w:ascii="Carlito" w:hAnsi="Carlito"/>
          <w:b w:val="false"/>
          <w:bCs w:val="false"/>
          <w:i w:val="false"/>
          <w:iCs/>
          <w:strike w:val="false"/>
          <w:dstrike w:val="false"/>
          <w:outline w:val="false"/>
          <w:shadow w:val="false"/>
          <w:color w:val="000000"/>
          <w:sz w:val="24"/>
          <w:szCs w:val="24"/>
          <w:u w:val="none"/>
          <w:em w:val="none"/>
        </w:rPr>
        <w:t>Substituto</w:t>
      </w:r>
    </w:p>
    <w:p>
      <w:pPr>
        <w:pStyle w:val="Normal"/>
        <w:jc w:val="both"/>
        <w:rPr>
          <w:rFonts w:ascii="Calibri" w:hAnsi="Calibri"/>
          <w:b/>
          <w:b/>
          <w:i w:val="false"/>
          <w:i w:val="false"/>
          <w:iCs w:val="false"/>
          <w:sz w:val="24"/>
          <w:szCs w:val="24"/>
        </w:rPr>
      </w:pPr>
      <w:r>
        <w:rPr>
          <w:rFonts w:ascii="Calibri" w:hAnsi="Calibri"/>
          <w:b/>
          <w:i w:val="false"/>
          <w:iCs w:val="false"/>
          <w:sz w:val="24"/>
          <w:szCs w:val="24"/>
        </w:rPr>
      </w:r>
    </w:p>
    <w:p>
      <w:pPr>
        <w:pStyle w:val="Normal"/>
        <w:jc w:val="both"/>
        <w:rPr>
          <w:rFonts w:ascii="Calibri" w:hAnsi="Calibri"/>
          <w:b/>
          <w:b/>
          <w:i w:val="false"/>
          <w:i w:val="false"/>
          <w:iCs w:val="false"/>
          <w:sz w:val="24"/>
          <w:szCs w:val="24"/>
        </w:rPr>
      </w:pPr>
      <w:r>
        <w:rPr>
          <w:rFonts w:ascii="Calibri" w:hAnsi="Calibri"/>
          <w:b/>
          <w:i w:val="false"/>
          <w:iCs w:val="false"/>
          <w:sz w:val="24"/>
          <w:szCs w:val="24"/>
        </w:rPr>
      </w:r>
    </w:p>
    <w:p>
      <w:pPr>
        <w:pStyle w:val="Normal"/>
        <w:jc w:val="both"/>
        <w:rPr>
          <w:rFonts w:ascii="Calibri" w:hAnsi="Calibri"/>
          <w:b/>
          <w:b/>
          <w:i w:val="false"/>
          <w:i w:val="false"/>
          <w:iCs w:val="false"/>
          <w:sz w:val="24"/>
          <w:szCs w:val="24"/>
        </w:rPr>
      </w:pPr>
      <w:r>
        <w:rPr>
          <w:rFonts w:ascii="Calibri" w:hAnsi="Calibri"/>
          <w:b/>
          <w:i w:val="false"/>
          <w:iCs w:val="false"/>
          <w:sz w:val="24"/>
          <w:szCs w:val="24"/>
        </w:rPr>
      </w:r>
    </w:p>
    <w:p>
      <w:pPr>
        <w:pStyle w:val="Normal"/>
        <w:jc w:val="both"/>
        <w:rPr>
          <w:rFonts w:ascii="Carlito " w:hAnsi="Carlito "/>
          <w:sz w:val="24"/>
          <w:szCs w:val="24"/>
        </w:rPr>
      </w:pPr>
      <w:r>
        <w:rPr>
          <w:rFonts w:ascii="Calibri" w:hAnsi="Calibri"/>
          <w:b/>
          <w:i w:val="false"/>
          <w:iCs w:val="false"/>
          <w:sz w:val="24"/>
          <w:szCs w:val="24"/>
        </w:rPr>
        <w:t>ANEXO IV – DOCUMENTAÇÃO EXIGIDA PARA HABILITAÇÃO</w:t>
      </w:r>
    </w:p>
    <w:p>
      <w:pPr>
        <w:pStyle w:val="Normal"/>
        <w:jc w:val="both"/>
        <w:rPr>
          <w:rFonts w:ascii="Calibri" w:hAnsi="Calibri"/>
          <w:i w:val="false"/>
          <w:i w:val="false"/>
          <w:iCs w:val="false"/>
          <w:sz w:val="24"/>
          <w:szCs w:val="24"/>
        </w:rPr>
      </w:pPr>
      <w:r>
        <w:rPr>
          <w:rFonts w:ascii="Calibri" w:hAnsi="Calibri"/>
          <w:i w:val="false"/>
          <w:iCs w:val="false"/>
          <w:sz w:val="24"/>
          <w:szCs w:val="24"/>
        </w:rPr>
      </w:r>
    </w:p>
    <w:p>
      <w:pPr>
        <w:pStyle w:val="Normal"/>
        <w:keepNext w:val="true"/>
        <w:keepLines w:val="false"/>
        <w:widowControl/>
        <w:numPr>
          <w:ilvl w:val="0"/>
          <w:numId w:val="4"/>
        </w:numPr>
        <w:shd w:val="clear" w:fill="FFFFFF"/>
        <w:spacing w:lineRule="auto" w:line="276" w:before="120" w:after="120"/>
        <w:ind w:left="360" w:right="0" w:hanging="360"/>
        <w:jc w:val="both"/>
        <w:rPr>
          <w:rFonts w:ascii="Carlito " w:hAnsi="Carlito "/>
          <w:sz w:val="24"/>
          <w:szCs w:val="24"/>
        </w:rPr>
      </w:pPr>
      <w:r>
        <w:rPr>
          <w:rFonts w:eastAsia="Arial" w:cs="Arial" w:ascii="Calibri" w:hAnsi="Calibri"/>
          <w:b/>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Calibri" w:hAnsi="Calibri"/>
          <w:b/>
          <w:i w:val="false"/>
          <w:iCs w:val="false"/>
          <w:caps w:val="false"/>
          <w:smallCaps w:val="false"/>
          <w:strike w:val="false"/>
          <w:dstrike w:val="false"/>
          <w:color w:val="000000"/>
          <w:position w:val="0"/>
          <w:sz w:val="24"/>
          <w:sz w:val="24"/>
          <w:szCs w:val="24"/>
          <w:u w:val="none"/>
          <w:shd w:fill="FFFFFF" w:val="clear"/>
          <w:vertAlign w:val="baseline"/>
        </w:rPr>
        <w:t>Regularidade fiscal, social e trabalhista:</w:t>
      </w:r>
    </w:p>
    <w:p>
      <w:pPr>
        <w:pStyle w:val="Normal"/>
        <w:numPr>
          <w:ilvl w:val="1"/>
          <w:numId w:val="4"/>
        </w:numPr>
        <w:tabs>
          <w:tab w:val="clear" w:pos="709"/>
          <w:tab w:val="left" w:pos="1440" w:leader="none"/>
        </w:tabs>
        <w:spacing w:lineRule="auto" w:line="276" w:before="120" w:after="120"/>
        <w:ind w:left="927" w:hanging="360"/>
        <w:jc w:val="both"/>
        <w:rPr>
          <w:rFonts w:ascii="Carlito " w:hAnsi="Carlito "/>
          <w:sz w:val="24"/>
          <w:szCs w:val="24"/>
        </w:rPr>
      </w:pPr>
      <w:r>
        <w:rPr>
          <w:rFonts w:ascii="Calibri" w:hAnsi="Calibri"/>
          <w:i w:val="false"/>
          <w:iCs w:val="false"/>
          <w:sz w:val="24"/>
          <w:szCs w:val="24"/>
        </w:rPr>
        <w:t>prova de inscrição no Cadastro Nacional de Pessoas Jurídicas ou no Cadastro de Pessoas Físicas, conforme o caso;</w:t>
      </w:r>
    </w:p>
    <w:p>
      <w:pPr>
        <w:pStyle w:val="Normal"/>
        <w:numPr>
          <w:ilvl w:val="1"/>
          <w:numId w:val="4"/>
        </w:numPr>
        <w:tabs>
          <w:tab w:val="clear" w:pos="709"/>
          <w:tab w:val="left" w:pos="1440" w:leader="none"/>
        </w:tabs>
        <w:spacing w:lineRule="auto" w:line="276" w:before="120" w:after="120"/>
        <w:ind w:left="927" w:hanging="360"/>
        <w:jc w:val="both"/>
        <w:rPr>
          <w:rFonts w:ascii="Carlito " w:hAnsi="Carlito "/>
          <w:sz w:val="24"/>
          <w:szCs w:val="24"/>
        </w:rPr>
      </w:pPr>
      <w:r>
        <w:rPr>
          <w:rFonts w:ascii="Calibri" w:hAnsi="Calibri"/>
          <w:i w:val="false"/>
          <w:iCs w:val="false"/>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pPr>
        <w:pStyle w:val="Normal"/>
        <w:numPr>
          <w:ilvl w:val="1"/>
          <w:numId w:val="4"/>
        </w:numPr>
        <w:tabs>
          <w:tab w:val="clear" w:pos="709"/>
          <w:tab w:val="left" w:pos="1440" w:leader="none"/>
        </w:tabs>
        <w:spacing w:lineRule="auto" w:line="276" w:before="120" w:after="120"/>
        <w:ind w:left="927" w:hanging="360"/>
        <w:jc w:val="both"/>
        <w:rPr>
          <w:rFonts w:ascii="Carlito " w:hAnsi="Carlito "/>
          <w:sz w:val="24"/>
          <w:szCs w:val="24"/>
        </w:rPr>
      </w:pPr>
      <w:r>
        <w:rPr>
          <w:rFonts w:ascii="Calibri" w:hAnsi="Calibri"/>
          <w:i w:val="false"/>
          <w:iCs w:val="false"/>
          <w:color w:val="000000"/>
          <w:sz w:val="24"/>
          <w:szCs w:val="24"/>
        </w:rPr>
        <w:t>prova de regularidade com o Fundo de Garantia do Tempo de Serviço (FGTS);</w:t>
      </w:r>
    </w:p>
    <w:p>
      <w:pPr>
        <w:pStyle w:val="Normal"/>
        <w:numPr>
          <w:ilvl w:val="1"/>
          <w:numId w:val="4"/>
        </w:numPr>
        <w:tabs>
          <w:tab w:val="clear" w:pos="709"/>
          <w:tab w:val="left" w:pos="1440" w:leader="none"/>
        </w:tabs>
        <w:spacing w:lineRule="auto" w:line="276" w:before="120" w:after="120"/>
        <w:ind w:left="927" w:hanging="360"/>
        <w:jc w:val="both"/>
        <w:rPr>
          <w:rFonts w:ascii="Carlito " w:hAnsi="Carlito "/>
          <w:sz w:val="24"/>
          <w:szCs w:val="24"/>
        </w:rPr>
      </w:pPr>
      <w:r>
        <w:rPr>
          <w:rFonts w:ascii="Calibri" w:hAnsi="Calibri"/>
          <w:i w:val="false"/>
          <w:iCs w:val="false"/>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Normal"/>
        <w:keepNext w:val="true"/>
        <w:keepLines w:val="false"/>
        <w:widowControl/>
        <w:numPr>
          <w:ilvl w:val="0"/>
          <w:numId w:val="0"/>
        </w:numPr>
        <w:shd w:val="clear" w:fill="FFFFFF"/>
        <w:spacing w:lineRule="auto" w:line="276" w:before="120" w:after="120"/>
        <w:ind w:left="360" w:right="0" w:hanging="0"/>
        <w:jc w:val="both"/>
        <w:rPr/>
      </w:pPr>
      <w:r>
        <w:rPr/>
      </w:r>
    </w:p>
    <w:sectPr>
      <w:footerReference w:type="default" r:id="rId5"/>
      <w:type w:val="nextPage"/>
      <w:pgSz w:w="11906" w:h="16838"/>
      <w:pgMar w:left="1185" w:right="1076" w:gutter="0" w:header="0" w:top="1417" w:footer="708" w:bottom="1417"/>
      <w:pgNumType w:start="1" w:fmt="decimal"/>
      <w:formProt w:val="false"/>
      <w:textDirection w:val="lrTb"/>
      <w:docGrid w:type="default" w:linePitch="280" w:charSpace="163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Calibri">
    <w:charset w:val="01"/>
    <w:family w:val="roman"/>
    <w:pitch w:val="variable"/>
  </w:font>
  <w:font w:name="Ecofont_Spranq_eco_Sans">
    <w:charset w:val="01"/>
    <w:family w:val="roman"/>
    <w:pitch w:val="variable"/>
  </w:font>
  <w:font w:name="Cambria">
    <w:charset w:val="01"/>
    <w:family w:val="roman"/>
    <w:pitch w:val="variable"/>
  </w:font>
  <w:font w:name="Tahoma">
    <w:charset w:val="01"/>
    <w:family w:val="roman"/>
    <w:pitch w:val="variable"/>
  </w:font>
  <w:font w:name="Courier New">
    <w:charset w:val="01"/>
    <w:family w:val="roman"/>
    <w:pitch w:val="variable"/>
  </w:font>
  <w:font w:name="Wingdings">
    <w:charset w:val="01"/>
    <w:family w:val="roman"/>
    <w:pitch w:val="variable"/>
  </w:font>
  <w:font w:name="Symbol">
    <w:charset w:val="01"/>
    <w:family w:val="roman"/>
    <w:pitch w:val="variable"/>
  </w:font>
  <w:font w:name="Liberation Sans">
    <w:altName w:val="Arial"/>
    <w:charset w:val="01"/>
    <w:family w:val="roman"/>
    <w:pitch w:val="variable"/>
  </w:font>
  <w:font w:name="Georgia">
    <w:charset w:val="01"/>
    <w:family w:val="roman"/>
    <w:pitch w:val="variable"/>
  </w:font>
  <w:font w:name="Times New Roman">
    <w:charset w:val="01"/>
    <w:family w:val="roman"/>
    <w:pitch w:val="variable"/>
  </w:font>
  <w:font w:name="Carlito ">
    <w:altName w:val="Calibri"/>
    <w:charset w:val="01"/>
    <w:family w:val="roman"/>
    <w:pitch w:val="variable"/>
  </w:font>
  <w:font w:name="Carlito">
    <w:altName w:val="Calibri"/>
    <w:charset w:val="01"/>
    <w:family w:val="roman"/>
    <w:pitch w:val="variable"/>
  </w:font>
  <w:font w:name="Carlito">
    <w:altName w:val="Calibri"/>
    <w:charset w:val="01"/>
    <w:family w:val="swiss"/>
    <w:pitch w:val="variable"/>
  </w:font>
  <w:font w:name="Symbol">
    <w:charset w:val="02"/>
    <w:family w:val="auto"/>
    <w:pitch w:val="default"/>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keepNext w:val="true"/>
      <w:keepLines w:val="false"/>
      <w:widowControl/>
      <w:shd w:val="clear" w:fill="auto"/>
      <w:tabs>
        <w:tab w:val="clear" w:pos="709"/>
        <w:tab w:val="center" w:pos="4252" w:leader="none"/>
        <w:tab w:val="right" w:pos="8504" w:leader="none"/>
      </w:tabs>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12"/>
        <w:sz w:val="12"/>
        <w:szCs w:val="12"/>
        <w:u w:val="none"/>
        <w:vertAlign w:val="baseline"/>
      </w:rPr>
    </w:pPr>
    <w:r>
      <w:rPr>
        <w:rFonts w:eastAsia="Arial" w:cs="Arial"/>
        <w:b w:val="false"/>
        <w:i w:val="false"/>
        <w:caps w:val="false"/>
        <w:smallCaps w:val="false"/>
        <w:strike w:val="false"/>
        <w:dstrike w:val="false"/>
        <w:color w:val="000000"/>
        <w:position w:val="0"/>
        <w:sz w:val="12"/>
        <w:sz w:val="12"/>
        <w:szCs w:val="12"/>
        <w:u w:val="none"/>
        <w:shd w:fill="FFFFFF" w:val="clear"/>
        <w:vertAlign w:val="baseline"/>
      </w:rPr>
      <w:t>Câmara Nacional de Modelos de Licitações e Contratos – CNMLC/CGU/AGU</w:t>
    </w:r>
  </w:p>
  <w:p>
    <w:pPr>
      <w:pStyle w:val="Normal"/>
      <w:keepNext w:val="true"/>
      <w:keepLines w:val="false"/>
      <w:widowControl/>
      <w:shd w:val="clear" w:fill="auto"/>
      <w:tabs>
        <w:tab w:val="clear" w:pos="709"/>
        <w:tab w:val="center" w:pos="4252" w:leader="none"/>
        <w:tab w:val="right" w:pos="8504" w:leader="none"/>
      </w:tabs>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12"/>
        <w:sz w:val="12"/>
        <w:szCs w:val="12"/>
        <w:u w:val="none"/>
        <w:vertAlign w:val="baseline"/>
      </w:rPr>
    </w:pPr>
    <w:r>
      <w:rPr>
        <w:rFonts w:eastAsia="Arial" w:cs="Arial"/>
        <w:b w:val="false"/>
        <w:i w:val="false"/>
        <w:caps w:val="false"/>
        <w:smallCaps w:val="false"/>
        <w:strike w:val="false"/>
        <w:dstrike w:val="false"/>
        <w:color w:val="000000"/>
        <w:position w:val="0"/>
        <w:sz w:val="12"/>
        <w:sz w:val="12"/>
        <w:szCs w:val="12"/>
        <w:u w:val="none"/>
        <w:shd w:fill="FFFFFF" w:val="clear"/>
        <w:vertAlign w:val="baseline"/>
      </w:rPr>
      <w:t>Aviso de Dispensa Eletrônica – Lei nº 14.133/21 e IN SEGES/ME nº 67/2021</w:t>
    </w:r>
  </w:p>
  <w:p>
    <w:pPr>
      <w:pStyle w:val="Normal"/>
      <w:keepNext w:val="true"/>
      <w:keepLines w:val="false"/>
      <w:widowControl/>
      <w:shd w:val="clear" w:fill="auto"/>
      <w:tabs>
        <w:tab w:val="clear" w:pos="709"/>
        <w:tab w:val="center" w:pos="4252" w:leader="none"/>
        <w:tab w:val="right" w:pos="8504" w:leader="none"/>
      </w:tabs>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12"/>
        <w:sz w:val="12"/>
        <w:szCs w:val="12"/>
        <w:u w:val="none"/>
        <w:shd w:fill="FFFFFF" w:val="clear"/>
        <w:vertAlign w:val="baseline"/>
      </w:rPr>
      <w:t>Versão: Agosto/2021</w:t>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rPr>
    </w:lvl>
    <w:lvl w:ilvl="2">
      <w:start w:val="1"/>
      <w:numFmt w:val="decimal"/>
      <w:lvlText w:val="%1.%2.%3."/>
      <w:lvlJc w:val="left"/>
      <w:pPr>
        <w:tabs>
          <w:tab w:val="num" w:pos="0"/>
        </w:tabs>
        <w:ind w:left="1224" w:hanging="504"/>
      </w:pPr>
      <w:rPr>
        <w:i w:val="false"/>
        <w:b w:val="false"/>
        <w:color w:val="000000"/>
      </w:rPr>
    </w:lvl>
    <w:lvl w:ilvl="3">
      <w:start w:val="1"/>
      <w:numFmt w:val="lowerLetter"/>
      <w:lvlText w:val="%4)"/>
      <w:lvlJc w:val="left"/>
      <w:pPr>
        <w:tabs>
          <w:tab w:val="num" w:pos="0"/>
        </w:tabs>
        <w:ind w:left="1728" w:hanging="647"/>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5"/>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rPr>
    </w:lvl>
    <w:lvl w:ilvl="2">
      <w:start w:val="1"/>
      <w:numFmt w:val="lowerLetter"/>
      <w:lvlText w:val="%3)"/>
      <w:lvlJc w:val="left"/>
      <w:pPr>
        <w:tabs>
          <w:tab w:val="num" w:pos="0"/>
        </w:tabs>
        <w:ind w:left="1224" w:hanging="504"/>
      </w:pPr>
      <w:rPr>
        <w:sz w:val="24"/>
        <w:i w:val="false"/>
        <w:b w:val="false"/>
        <w:color w:val="000000"/>
      </w:rPr>
    </w:lvl>
    <w:lvl w:ilvl="3">
      <w:start w:val="1"/>
      <w:numFmt w:val="decimal"/>
      <w:lvlText w:val="%1.%2.%3.%4."/>
      <w:lvlJc w:val="left"/>
      <w:pPr>
        <w:tabs>
          <w:tab w:val="num" w:pos="0"/>
        </w:tabs>
        <w:ind w:left="1728" w:hanging="647"/>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5"/>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decimal"/>
      <w:lvlText w:val="%1."/>
      <w:lvlJc w:val="left"/>
      <w:pPr>
        <w:tabs>
          <w:tab w:val="num" w:pos="0"/>
        </w:tabs>
        <w:ind w:left="360" w:hanging="360"/>
      </w:pPr>
      <w:rPr>
        <w:sz w:val="24"/>
        <w:b/>
        <w:rFonts w:eastAsia="Arial" w:cs="Arial"/>
      </w:rPr>
    </w:lvl>
    <w:lvl w:ilvl="1">
      <w:start w:val="1"/>
      <w:numFmt w:val="decimal"/>
      <w:lvlText w:val="%1.%2."/>
      <w:lvlJc w:val="left"/>
      <w:pPr>
        <w:tabs>
          <w:tab w:val="num" w:pos="0"/>
        </w:tabs>
        <w:ind w:left="792" w:hanging="432"/>
      </w:pPr>
      <w:rPr>
        <w:sz w:val="24"/>
        <w:i w:val="false"/>
        <w:b/>
        <w:bCs/>
        <w:rFonts w:eastAsia="Arial" w:cs="Arial"/>
      </w:rPr>
    </w:lvl>
    <w:lvl w:ilvl="2">
      <w:start w:val="1"/>
      <w:numFmt w:val="decimal"/>
      <w:lvlText w:val="%1.%2.%3."/>
      <w:lvlJc w:val="left"/>
      <w:pPr>
        <w:tabs>
          <w:tab w:val="num" w:pos="0"/>
        </w:tabs>
        <w:ind w:left="1224" w:hanging="504"/>
      </w:pPr>
      <w:rPr>
        <w:sz w:val="24"/>
        <w:i w:val="false"/>
        <w:b/>
        <w:rFonts w:eastAsia="Arial" w:cs="Arial"/>
        <w:color w:val="000000"/>
      </w:rPr>
    </w:lvl>
    <w:lvl w:ilvl="3">
      <w:start w:val="1"/>
      <w:numFmt w:val="decimal"/>
      <w:lvlText w:val="%1.%2.%3.%4."/>
      <w:lvlJc w:val="left"/>
      <w:pPr>
        <w:tabs>
          <w:tab w:val="num" w:pos="0"/>
        </w:tabs>
        <w:ind w:left="1728" w:hanging="647"/>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5"/>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0"/>
        </w:tabs>
        <w:ind w:left="360" w:hanging="360"/>
      </w:pPr>
      <w:rPr/>
    </w:lvl>
    <w:lvl w:ilvl="1">
      <w:start w:val="1"/>
      <w:numFmt w:val="decimal"/>
      <w:lvlText w:val="%1.%2"/>
      <w:lvlJc w:val="left"/>
      <w:pPr>
        <w:tabs>
          <w:tab w:val="num" w:pos="0"/>
        </w:tabs>
        <w:ind w:left="927" w:hanging="360"/>
      </w:pPr>
      <w:rPr>
        <w:sz w:val="24"/>
        <w:b/>
        <w:rFonts w:eastAsia="Arial" w:cs="Arial"/>
      </w:rPr>
    </w:lvl>
    <w:lvl w:ilvl="2">
      <w:start w:val="1"/>
      <w:numFmt w:val="decimal"/>
      <w:lvlText w:val="%1.%2.%3"/>
      <w:lvlJc w:val="left"/>
      <w:pPr>
        <w:tabs>
          <w:tab w:val="num" w:pos="0"/>
        </w:tabs>
        <w:ind w:left="1854" w:hanging="720"/>
      </w:pPr>
      <w:rPr>
        <w:sz w:val="20"/>
        <w:b/>
        <w:rFonts w:eastAsia="Arial" w:cs="Arial"/>
      </w:rPr>
    </w:lvl>
    <w:lvl w:ilvl="3">
      <w:start w:val="1"/>
      <w:numFmt w:val="decimal"/>
      <w:lvlText w:val="%1.%2.%3.%4"/>
      <w:lvlJc w:val="left"/>
      <w:pPr>
        <w:tabs>
          <w:tab w:val="num" w:pos="0"/>
        </w:tabs>
        <w:ind w:left="2421" w:hanging="720"/>
      </w:pPr>
      <w:rPr/>
    </w:lvl>
    <w:lvl w:ilvl="4">
      <w:start w:val="1"/>
      <w:numFmt w:val="decimal"/>
      <w:lvlText w:val="%1.%2.%3.%4.%5"/>
      <w:lvlJc w:val="left"/>
      <w:pPr>
        <w:tabs>
          <w:tab w:val="num" w:pos="0"/>
        </w:tabs>
        <w:ind w:left="3348" w:hanging="1080"/>
      </w:pPr>
      <w:rPr/>
    </w:lvl>
    <w:lvl w:ilvl="5">
      <w:start w:val="1"/>
      <w:numFmt w:val="decimal"/>
      <w:lvlText w:val="%1.%2.%3.%4.%5.%6"/>
      <w:lvlJc w:val="left"/>
      <w:pPr>
        <w:tabs>
          <w:tab w:val="num" w:pos="0"/>
        </w:tabs>
        <w:ind w:left="3915" w:hanging="1080"/>
      </w:pPr>
      <w:rPr/>
    </w:lvl>
    <w:lvl w:ilvl="6">
      <w:start w:val="1"/>
      <w:numFmt w:val="decimal"/>
      <w:lvlText w:val="%1.%2.%3.%4.%5.%6.%7"/>
      <w:lvlJc w:val="left"/>
      <w:pPr>
        <w:tabs>
          <w:tab w:val="num" w:pos="0"/>
        </w:tabs>
        <w:ind w:left="4842" w:hanging="1440"/>
      </w:pPr>
      <w:rPr/>
    </w:lvl>
    <w:lvl w:ilvl="7">
      <w:start w:val="1"/>
      <w:numFmt w:val="decimal"/>
      <w:lvlText w:val="%1.%2.%3.%4.%5.%6.%7.%8"/>
      <w:lvlJc w:val="left"/>
      <w:pPr>
        <w:tabs>
          <w:tab w:val="num" w:pos="0"/>
        </w:tabs>
        <w:ind w:left="5409" w:hanging="1440"/>
      </w:pPr>
      <w:rPr/>
    </w:lvl>
    <w:lvl w:ilvl="8">
      <w:start w:val="1"/>
      <w:numFmt w:val="decimal"/>
      <w:lvlText w:val="%1.%2.%3.%4.%5.%6.%7.%8.%9"/>
      <w:lvlJc w:val="left"/>
      <w:pPr>
        <w:tabs>
          <w:tab w:val="num" w:pos="0"/>
        </w:tabs>
        <w:ind w:left="6336" w:hanging="1800"/>
      </w:pPr>
      <w:rPr/>
    </w:lvl>
  </w:abstractNum>
  <w:abstractNum w:abstractNumId="5">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00"/>
  <w:defaultTabStop w:val="709"/>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w:cs="Lohit Devanagari"/>
        <w:kern w:val="2"/>
        <w:szCs w:val="24"/>
        <w:lang w:val="pt-BR" w:eastAsia="zh-CN" w:bidi="hi-IN"/>
      </w:rPr>
    </w:rPrDefault>
    <w:pPrDefault>
      <w:pPr>
        <w:suppressAutoHyphens w:val="true"/>
      </w:pPr>
    </w:pPrDefault>
  </w:docDefaults>
  <w:style w:type="paragraph" w:styleId="Normal">
    <w:name w:val="Normal"/>
    <w:qFormat/>
    <w:pPr>
      <w:widowControl w:val="false"/>
      <w:suppressAutoHyphens w:val="true"/>
      <w:overflowPunct w:val="false"/>
      <w:bidi w:val="0"/>
      <w:spacing w:before="0" w:after="0"/>
      <w:jc w:val="left"/>
      <w:textAlignment w:val="baseline"/>
    </w:pPr>
    <w:rPr>
      <w:rFonts w:ascii="Arial" w:hAnsi="Arial" w:eastAsia="Arial" w:cs="Arial"/>
      <w:color w:val="00000A"/>
      <w:kern w:val="0"/>
      <w:sz w:val="20"/>
      <w:szCs w:val="20"/>
      <w:lang w:val="pt-BR" w:eastAsia="zh-CN" w:bidi="hi-IN"/>
    </w:rPr>
  </w:style>
  <w:style w:type="paragraph" w:styleId="Ttulo1">
    <w:name w:val="Heading 1"/>
    <w:basedOn w:val="Normal"/>
    <w:qFormat/>
    <w:pPr>
      <w:keepNext w:val="true"/>
      <w:keepLines/>
      <w:widowControl w:val="false"/>
      <w:bidi w:val="0"/>
      <w:spacing w:lineRule="auto" w:line="240" w:before="240" w:after="0"/>
      <w:jc w:val="left"/>
    </w:pPr>
    <w:rPr>
      <w:rFonts w:ascii="Calibri" w:hAnsi="Calibri" w:eastAsia="Calibri" w:cs="Calibri"/>
      <w:color w:val="2F5496"/>
      <w:sz w:val="32"/>
      <w:szCs w:val="32"/>
      <w:lang w:val="pt-BR" w:eastAsia="zh-CN" w:bidi="hi-IN"/>
    </w:rPr>
  </w:style>
  <w:style w:type="paragraph" w:styleId="Ttulo2">
    <w:name w:val="Heading 2"/>
    <w:basedOn w:val="Normal"/>
    <w:qFormat/>
    <w:pPr>
      <w:keepNext w:val="true"/>
      <w:keepLines/>
      <w:widowControl w:val="false"/>
      <w:bidi w:val="0"/>
      <w:spacing w:lineRule="auto" w:line="240" w:before="360" w:after="80"/>
      <w:jc w:val="left"/>
    </w:pPr>
    <w:rPr>
      <w:rFonts w:ascii="Arial" w:hAnsi="Arial" w:eastAsia="Arial" w:cs="Arial"/>
      <w:b/>
      <w:color w:val="00000A"/>
      <w:sz w:val="36"/>
      <w:szCs w:val="36"/>
      <w:lang w:val="pt-BR" w:eastAsia="zh-CN" w:bidi="hi-IN"/>
    </w:rPr>
  </w:style>
  <w:style w:type="paragraph" w:styleId="Ttulo3">
    <w:name w:val="Heading 3"/>
    <w:basedOn w:val="Normal"/>
    <w:qFormat/>
    <w:pPr>
      <w:keepNext w:val="true"/>
      <w:keepLines/>
      <w:widowControl w:val="false"/>
      <w:bidi w:val="0"/>
      <w:spacing w:lineRule="auto" w:line="240" w:before="280" w:after="80"/>
      <w:jc w:val="left"/>
    </w:pPr>
    <w:rPr>
      <w:rFonts w:ascii="Arial" w:hAnsi="Arial" w:eastAsia="Arial" w:cs="Arial"/>
      <w:b/>
      <w:color w:val="00000A"/>
      <w:sz w:val="28"/>
      <w:szCs w:val="28"/>
      <w:lang w:val="pt-BR" w:eastAsia="zh-CN" w:bidi="hi-IN"/>
    </w:rPr>
  </w:style>
  <w:style w:type="paragraph" w:styleId="Ttulo4">
    <w:name w:val="Heading 4"/>
    <w:basedOn w:val="Normal"/>
    <w:qFormat/>
    <w:pPr>
      <w:keepNext w:val="true"/>
      <w:keepLines/>
      <w:widowControl w:val="false"/>
      <w:bidi w:val="0"/>
      <w:spacing w:lineRule="auto" w:line="240" w:before="240" w:after="40"/>
      <w:jc w:val="left"/>
    </w:pPr>
    <w:rPr>
      <w:rFonts w:ascii="Arial" w:hAnsi="Arial" w:eastAsia="Arial" w:cs="Arial"/>
      <w:b/>
      <w:color w:val="00000A"/>
      <w:sz w:val="24"/>
      <w:szCs w:val="24"/>
      <w:lang w:val="pt-BR" w:eastAsia="zh-CN" w:bidi="hi-IN"/>
    </w:rPr>
  </w:style>
  <w:style w:type="paragraph" w:styleId="Ttulo5">
    <w:name w:val="Heading 5"/>
    <w:basedOn w:val="Normal"/>
    <w:qFormat/>
    <w:pPr>
      <w:keepNext w:val="true"/>
      <w:keepLines/>
      <w:widowControl w:val="false"/>
      <w:bidi w:val="0"/>
      <w:spacing w:lineRule="auto" w:line="240" w:before="220" w:after="40"/>
      <w:jc w:val="left"/>
    </w:pPr>
    <w:rPr>
      <w:rFonts w:ascii="Arial" w:hAnsi="Arial" w:eastAsia="Arial" w:cs="Arial"/>
      <w:b/>
      <w:color w:val="00000A"/>
      <w:sz w:val="22"/>
      <w:szCs w:val="22"/>
      <w:lang w:val="pt-BR" w:eastAsia="zh-CN" w:bidi="hi-IN"/>
    </w:rPr>
  </w:style>
  <w:style w:type="paragraph" w:styleId="Ttulo6">
    <w:name w:val="Heading 6"/>
    <w:basedOn w:val="Normal"/>
    <w:qFormat/>
    <w:pPr>
      <w:keepNext w:val="true"/>
      <w:keepLines/>
      <w:widowControl w:val="false"/>
      <w:bidi w:val="0"/>
      <w:spacing w:lineRule="auto" w:line="240" w:before="200" w:after="40"/>
      <w:jc w:val="left"/>
    </w:pPr>
    <w:rPr>
      <w:rFonts w:ascii="Arial" w:hAnsi="Arial" w:eastAsia="Arial" w:cs="Arial"/>
      <w:b/>
      <w:color w:val="00000A"/>
      <w:sz w:val="20"/>
      <w:szCs w:val="20"/>
      <w:lang w:val="pt-BR" w:eastAsia="zh-CN" w:bidi="hi-IN"/>
    </w:rPr>
  </w:style>
  <w:style w:type="character" w:styleId="LinkdaInternet">
    <w:name w:val="Link da Internet"/>
    <w:qFormat/>
    <w:rPr>
      <w:color w:val="000080"/>
      <w:u w:val="single"/>
    </w:rPr>
  </w:style>
  <w:style w:type="character" w:styleId="Nfaseforte">
    <w:name w:val="Ênfase forte"/>
    <w:qFormat/>
    <w:rPr>
      <w:b/>
      <w:bCs/>
    </w:rPr>
  </w:style>
  <w:style w:type="character" w:styleId="Fontepargpadro">
    <w:name w:val="Fonte parág. padrão"/>
    <w:qFormat/>
    <w:rPr/>
  </w:style>
  <w:style w:type="character" w:styleId="Scaytmisspellword">
    <w:name w:val="scayt-misspell-word"/>
    <w:qFormat/>
    <w:rPr/>
  </w:style>
  <w:style w:type="character" w:styleId="Appleconvertedspace">
    <w:name w:val="apple-converted-space"/>
    <w:qFormat/>
    <w:rPr/>
  </w:style>
  <w:style w:type="character" w:styleId="QuoteChar">
    <w:name w:val="Quote Char"/>
    <w:qFormat/>
    <w:rPr>
      <w:rFonts w:ascii="Ecofont_Spranq_eco_Sans" w:hAnsi="Ecofont_Spranq_eco_Sans" w:eastAsia="Ecofont_Spranq_eco_Sans"/>
      <w:i/>
      <w:iCs/>
      <w:color w:val="000000"/>
      <w:sz w:val="24"/>
      <w:szCs w:val="24"/>
      <w:shd w:fill="FFFFCC" w:val="clear"/>
      <w:lang w:eastAsia="en-US"/>
    </w:rPr>
  </w:style>
  <w:style w:type="character" w:styleId="Nivel2Char">
    <w:name w:val="Nivel 2 Char"/>
    <w:qFormat/>
    <w:rPr>
      <w:rFonts w:ascii="Ecofont_Spranq_eco_Sans" w:hAnsi="Ecofont_Spranq_eco_Sans" w:eastAsia="Arial Unicode MS"/>
    </w:rPr>
  </w:style>
  <w:style w:type="character" w:styleId="Strong">
    <w:name w:val="Strong"/>
    <w:qFormat/>
    <w:rPr>
      <w:b/>
    </w:rPr>
  </w:style>
  <w:style w:type="character" w:styleId="Nivel01Char">
    <w:name w:val="Nivel_01 Char"/>
    <w:qFormat/>
    <w:rPr>
      <w:rFonts w:ascii="Ecofont_Spranq_eco_Sans" w:hAnsi="Ecofont_Spranq_eco_Sans"/>
      <w:b/>
      <w:bCs/>
      <w:color w:val="365F91"/>
      <w:sz w:val="32"/>
      <w:szCs w:val="32"/>
    </w:rPr>
  </w:style>
  <w:style w:type="character" w:styleId="Nivel01Char1">
    <w:name w:val="Nivel 01 Char"/>
    <w:qFormat/>
    <w:rPr>
      <w:rFonts w:ascii="Ecofont_Spranq_eco_Sans" w:hAnsi="Ecofont_Spranq_eco_Sans"/>
      <w:b/>
      <w:bCs/>
      <w:color w:val="000000"/>
    </w:rPr>
  </w:style>
  <w:style w:type="character" w:styleId="AssuntodocomentrioChar">
    <w:name w:val="Assunto do comentário Char"/>
    <w:qFormat/>
    <w:rPr>
      <w:rFonts w:ascii="Arial" w:hAnsi="Arial" w:eastAsia="Tahoma"/>
      <w:b/>
      <w:bCs/>
    </w:rPr>
  </w:style>
  <w:style w:type="character" w:styleId="TextodecomentrioChar">
    <w:name w:val="Texto de comentário Char"/>
    <w:qFormat/>
    <w:rPr>
      <w:rFonts w:ascii="Arial" w:hAnsi="Arial" w:eastAsia="Tahoma"/>
    </w:rPr>
  </w:style>
  <w:style w:type="character" w:styleId="Annotationreference">
    <w:name w:val="annotation reference"/>
    <w:qFormat/>
    <w:rPr>
      <w:sz w:val="18"/>
    </w:rPr>
  </w:style>
  <w:style w:type="character" w:styleId="Nivel1Char">
    <w:name w:val="Nivel1 Char"/>
    <w:qFormat/>
    <w:rPr>
      <w:rFonts w:ascii="Arial" w:hAnsi="Arial" w:eastAsia="Arial"/>
      <w:b/>
      <w:color w:val="000000"/>
      <w:sz w:val="32"/>
      <w:szCs w:val="32"/>
    </w:rPr>
  </w:style>
  <w:style w:type="character" w:styleId="Ttulo1Char">
    <w:name w:val="Título 1 Char"/>
    <w:qFormat/>
    <w:rPr>
      <w:rFonts w:ascii="Cambria" w:hAnsi="Cambria"/>
      <w:color w:val="365F91"/>
      <w:sz w:val="32"/>
      <w:szCs w:val="32"/>
    </w:rPr>
  </w:style>
  <w:style w:type="character" w:styleId="RodapChar">
    <w:name w:val="Rodapé Char"/>
    <w:qFormat/>
    <w:rPr>
      <w:rFonts w:ascii="Ecofont_Spranq_eco_Sans" w:hAnsi="Ecofont_Spranq_eco_Sans" w:eastAsia="Tahoma"/>
    </w:rPr>
  </w:style>
  <w:style w:type="character" w:styleId="CabealhoChar">
    <w:name w:val="Cabeçalho Char"/>
    <w:qFormat/>
    <w:rPr>
      <w:rFonts w:ascii="Ecofont_Spranq_eco_Sans" w:hAnsi="Ecofont_Spranq_eco_Sans" w:eastAsia="Tahoma"/>
    </w:rPr>
  </w:style>
  <w:style w:type="character" w:styleId="GradeColoridanfase1Char">
    <w:name w:val="Grade Colorida - Ênfase 1 Char"/>
    <w:qFormat/>
    <w:rPr>
      <w:rFonts w:ascii="Ecofont_Spranq_eco_Sans" w:hAnsi="Ecofont_Spranq_eco_Sans" w:eastAsia="Calibri"/>
      <w:i/>
      <w:iCs/>
      <w:color w:val="000000"/>
      <w:szCs w:val="24"/>
      <w:shd w:fill="FFFFCC" w:val="clear"/>
      <w:lang w:val="pt-BR" w:eastAsia="en-US"/>
    </w:rPr>
  </w:style>
  <w:style w:type="character" w:styleId="Citao2Char">
    <w:name w:val="citação 2 Char"/>
    <w:qFormat/>
    <w:rPr>
      <w:rFonts w:ascii="Ecofont_Spranq_eco_Sans" w:hAnsi="Ecofont_Spranq_eco_Sans" w:eastAsia="Tahoma"/>
      <w:i/>
      <w:iCs/>
      <w:color w:val="000000"/>
      <w:shd w:fill="FFFFCC" w:val="clear"/>
      <w:lang w:eastAsia="en-US"/>
    </w:rPr>
  </w:style>
  <w:style w:type="character" w:styleId="CitaoChar">
    <w:name w:val="Citação Char"/>
    <w:qFormat/>
    <w:rPr>
      <w:rFonts w:ascii="Ecofont_Spranq_eco_Sans" w:hAnsi="Ecofont_Spranq_eco_Sans" w:eastAsia="Tahoma"/>
      <w:i/>
      <w:iCs/>
      <w:color w:val="000000"/>
      <w:szCs w:val="24"/>
      <w:shd w:fill="FFFFCC" w:val="clear"/>
      <w:lang w:eastAsia="en-US"/>
    </w:rPr>
  </w:style>
  <w:style w:type="character" w:styleId="Applestylespan">
    <w:name w:val="apple-style-span"/>
    <w:qFormat/>
    <w:rPr/>
  </w:style>
  <w:style w:type="character" w:styleId="Normalchar1">
    <w:name w:val="normal__char1"/>
    <w:qFormat/>
    <w:rPr>
      <w:rFonts w:ascii="Arial" w:hAnsi="Arial" w:eastAsia="Arial"/>
      <w:strike w:val="false"/>
      <w:dstrike w:val="false"/>
      <w:sz w:val="24"/>
      <w:szCs w:val="24"/>
      <w:u w:val="none"/>
      <w:effect w:val="none"/>
    </w:rPr>
  </w:style>
  <w:style w:type="character" w:styleId="Ttulo2Char">
    <w:name w:val="Título 2 Char"/>
    <w:qFormat/>
    <w:rPr>
      <w:b/>
      <w:color w:val="000000"/>
      <w:sz w:val="24"/>
    </w:rPr>
  </w:style>
  <w:style w:type="character" w:styleId="TextodebaloChar">
    <w:name w:val="Texto de balão Char"/>
    <w:qFormat/>
    <w:rPr>
      <w:rFonts w:ascii="Tahoma" w:hAnsi="Tahoma" w:eastAsia="Tahoma"/>
      <w:sz w:val="16"/>
      <w:szCs w:val="16"/>
    </w:rPr>
  </w:style>
  <w:style w:type="character" w:styleId="DefaultParagraphFont">
    <w:name w:val="Default Paragraph Font"/>
    <w:qFormat/>
    <w:rPr/>
  </w:style>
  <w:style w:type="character" w:styleId="WWCharLFO2LVL8">
    <w:name w:val="WW_CharLFO2LVL8"/>
    <w:qFormat/>
    <w:rPr>
      <w:rFonts w:ascii="Courier New" w:hAnsi="Courier New" w:eastAsia="Courier New"/>
    </w:rPr>
  </w:style>
  <w:style w:type="character" w:styleId="WWCharLFO2LVL5">
    <w:name w:val="WW_CharLFO2LVL5"/>
    <w:qFormat/>
    <w:rPr>
      <w:rFonts w:ascii="Courier New" w:hAnsi="Courier New" w:eastAsia="Courier New"/>
    </w:rPr>
  </w:style>
  <w:style w:type="character" w:styleId="WWCharLFO2LVL2">
    <w:name w:val="WW_CharLFO2LVL2"/>
    <w:qFormat/>
    <w:rPr>
      <w:rFonts w:ascii="Courier New" w:hAnsi="Courier New" w:eastAsia="Courier New"/>
    </w:rPr>
  </w:style>
  <w:style w:type="character" w:styleId="WWCharLFO2LVL9">
    <w:name w:val="WW_CharLFO2LVL9"/>
    <w:qFormat/>
    <w:rPr>
      <w:rFonts w:ascii="Wingdings" w:hAnsi="Wingdings" w:cs="Wingdings"/>
    </w:rPr>
  </w:style>
  <w:style w:type="character" w:styleId="WWCharLFO2LVL7">
    <w:name w:val="WW_CharLFO2LVL7"/>
    <w:qFormat/>
    <w:rPr>
      <w:rFonts w:ascii="Symbol" w:hAnsi="Symbol" w:cs="Symbol"/>
    </w:rPr>
  </w:style>
  <w:style w:type="character" w:styleId="WWCharLFO2LVL6">
    <w:name w:val="WW_CharLFO2LVL6"/>
    <w:qFormat/>
    <w:rPr>
      <w:rFonts w:ascii="Wingdings" w:hAnsi="Wingdings" w:cs="Wingdings"/>
    </w:rPr>
  </w:style>
  <w:style w:type="character" w:styleId="WWCharLFO2LVL4">
    <w:name w:val="WW_CharLFO2LVL4"/>
    <w:qFormat/>
    <w:rPr>
      <w:rFonts w:ascii="Symbol" w:hAnsi="Symbol" w:cs="Symbol"/>
    </w:rPr>
  </w:style>
  <w:style w:type="character" w:styleId="WWCharLFO2LVL3">
    <w:name w:val="WW_CharLFO2LVL3"/>
    <w:qFormat/>
    <w:rPr>
      <w:rFonts w:ascii="Wingdings" w:hAnsi="Wingdings" w:cs="Wingdings"/>
    </w:rPr>
  </w:style>
  <w:style w:type="character" w:styleId="WWCharLFO2LVL1">
    <w:name w:val="WW_CharLFO2LVL1"/>
    <w:qFormat/>
    <w:rPr>
      <w:rFonts w:ascii="Wingdings" w:hAnsi="Wingdings" w:eastAsia="SimSun" w:cs="Mangal"/>
    </w:rPr>
  </w:style>
  <w:style w:type="paragraph" w:styleId="Ttulo">
    <w:name w:val="Título"/>
    <w:basedOn w:val="Normal"/>
    <w:next w:val="Corpodotexto"/>
    <w:qFormat/>
    <w:pPr>
      <w:keepNext w:val="true"/>
      <w:spacing w:before="240" w:after="120"/>
    </w:pPr>
    <w:rPr>
      <w:rFonts w:ascii="Liberation Sans" w:hAnsi="Liberation Sans" w:eastAsia="Microsoft YaHei" w:cs="Lucida Sans"/>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LOnormal" w:default="1">
    <w:name w:val="LO-normal"/>
    <w:qFormat/>
    <w:pPr>
      <w:widowControl/>
      <w:suppressAutoHyphens w:val="true"/>
      <w:overflowPunct w:val="false"/>
      <w:bidi w:val="0"/>
      <w:spacing w:before="0" w:after="0"/>
      <w:jc w:val="left"/>
      <w:textAlignment w:val="baseline"/>
    </w:pPr>
    <w:rPr>
      <w:rFonts w:ascii="Arial" w:hAnsi="Arial" w:eastAsia="Arial" w:cs="Arial"/>
      <w:color w:val="00000A"/>
      <w:kern w:val="0"/>
      <w:sz w:val="20"/>
      <w:szCs w:val="20"/>
      <w:lang w:val="pt-BR" w:eastAsia="zh-CN" w:bidi="hi-IN"/>
    </w:rPr>
  </w:style>
  <w:style w:type="paragraph" w:styleId="Ttulododocumento">
    <w:name w:val="Title"/>
    <w:basedOn w:val="LOnormal"/>
    <w:qFormat/>
    <w:pPr>
      <w:keepNext w:val="true"/>
      <w:spacing w:lineRule="auto" w:line="240" w:before="240" w:after="120"/>
    </w:pPr>
    <w:rPr>
      <w:rFonts w:ascii="Liberation Sans" w:hAnsi="Liberation Sans" w:eastAsia="Liberation Sans" w:cs="Liberation Sans"/>
      <w:sz w:val="28"/>
      <w:szCs w:val="28"/>
    </w:rPr>
  </w:style>
  <w:style w:type="paragraph" w:styleId="Subttulo">
    <w:name w:val="Subtitle"/>
    <w:basedOn w:val="LOnormal"/>
    <w:qFormat/>
    <w:pPr>
      <w:keepNext w:val="true"/>
      <w:keepLines/>
      <w:spacing w:lineRule="auto" w:line="240" w:before="360" w:after="80"/>
    </w:pPr>
    <w:rPr>
      <w:rFonts w:ascii="Georgia" w:hAnsi="Georgia" w:eastAsia="Georgia" w:cs="Georgia"/>
      <w:i/>
      <w:color w:val="666666"/>
      <w:sz w:val="48"/>
      <w:szCs w:val="48"/>
    </w:rPr>
  </w:style>
  <w:style w:type="paragraph" w:styleId="CabealhoeRodap">
    <w:name w:val="Cabeçalho e Rodapé"/>
    <w:basedOn w:val="Normal"/>
    <w:qFormat/>
    <w:pPr>
      <w:suppressLineNumbers/>
      <w:tabs>
        <w:tab w:val="clear" w:pos="709"/>
        <w:tab w:val="center" w:pos="4819" w:leader="none"/>
        <w:tab w:val="right" w:pos="9638" w:leader="none"/>
      </w:tabs>
    </w:pPr>
    <w:rPr/>
  </w:style>
  <w:style w:type="paragraph" w:styleId="Rodap">
    <w:name w:val="Footer"/>
    <w:basedOn w:val="Normal"/>
    <w:pPr/>
    <w:rPr/>
  </w:style>
  <w:style w:type="paragraph" w:styleId="Nivel1">
    <w:name w:val="Nivel1"/>
    <w:basedOn w:val="Ttulo1"/>
    <w:next w:val="Normal"/>
    <w:qFormat/>
    <w:pPr>
      <w:spacing w:lineRule="auto" w:line="276" w:before="480" w:after="120"/>
      <w:jc w:val="both"/>
    </w:pPr>
    <w:rPr>
      <w:rFonts w:ascii="Arial" w:hAnsi="Arial" w:cs="Arial"/>
      <w:b/>
      <w:color w:val="000000"/>
      <w:sz w:val="20"/>
      <w:szCs w:val="20"/>
    </w:rPr>
  </w:style>
  <w:style w:type="paragraph" w:styleId="Contedodatabela">
    <w:name w:val="Conteúdo da tabela"/>
    <w:basedOn w:val="Normal"/>
    <w:qFormat/>
    <w:pPr>
      <w:suppressLineNumbers/>
    </w:pPr>
    <w:rPr/>
  </w:style>
  <w:style w:type="paragraph" w:styleId="Ttulodetabela">
    <w:name w:val="Título de tabela"/>
    <w:basedOn w:val="Contedodatabela"/>
    <w:qFormat/>
    <w:pPr>
      <w:suppressLineNumbers/>
      <w:jc w:val="center"/>
    </w:pPr>
    <w:rPr>
      <w:b/>
      <w:bCs/>
    </w:rPr>
  </w:style>
  <w:style w:type="paragraph" w:styleId="Standard">
    <w:name w:val="Standard"/>
    <w:qFormat/>
    <w:pPr>
      <w:widowControl/>
      <w:suppressAutoHyphens w:val="true"/>
      <w:overflowPunct w:val="true"/>
      <w:bidi w:val="0"/>
      <w:spacing w:before="0" w:after="0"/>
      <w:jc w:val="left"/>
      <w:textAlignment w:val="baseline"/>
    </w:pPr>
    <w:rPr>
      <w:rFonts w:ascii="Ecofont_Spranq_eco_Sans" w:hAnsi="Ecofont_Spranq_eco_Sans" w:eastAsia="Tahoma" w:cs="Liberation Serif"/>
      <w:color w:val="00000A"/>
      <w:kern w:val="2"/>
      <w:sz w:val="20"/>
      <w:szCs w:val="24"/>
      <w:lang w:val="pt-BR" w:eastAsia="ar-SA" w:bidi="hi-IN"/>
    </w:rPr>
  </w:style>
  <w:style w:type="paragraph" w:styleId="Citao1">
    <w:name w:val="Citação1"/>
    <w:basedOn w:val="Normal"/>
    <w:qFormat/>
    <w:pPr>
      <w:pBdr>
        <w:bottom w:val="single" w:sz="4" w:space="1" w:color="1F497D"/>
      </w:pBdr>
    </w:pPr>
    <w:rPr>
      <w:rFonts w:ascii="Ecofont_Spranq_eco_Sans" w:hAnsi="Ecofont_Spranq_eco_Sans" w:eastAsia="Ecofont_Spranq_eco_Sans"/>
      <w:i/>
      <w:iCs/>
      <w:color w:val="000000"/>
      <w:shd w:fill="FFFFCC" w:val="clear"/>
      <w:lang w:eastAsia="ar-SA"/>
    </w:rPr>
  </w:style>
  <w:style w:type="paragraph" w:styleId="Nivel5">
    <w:name w:val="Nivel 5"/>
    <w:qFormat/>
    <w:pPr>
      <w:widowControl/>
      <w:tabs>
        <w:tab w:val="clear" w:pos="709"/>
        <w:tab w:val="left" w:pos="360" w:leader="none"/>
      </w:tabs>
      <w:suppressAutoHyphens w:val="true"/>
      <w:overflowPunct w:val="true"/>
      <w:bidi w:val="0"/>
      <w:spacing w:lineRule="auto" w:line="276" w:before="120" w:after="120"/>
      <w:ind w:left="3485" w:hanging="0"/>
      <w:jc w:val="both"/>
      <w:textAlignment w:val="baseline"/>
    </w:pPr>
    <w:rPr>
      <w:rFonts w:ascii="Ecofont_Spranq_eco_Sans" w:hAnsi="Ecofont_Spranq_eco_Sans" w:eastAsia="Arial" w:cs="Lohit Devanagari"/>
      <w:color w:val="auto"/>
      <w:kern w:val="2"/>
      <w:sz w:val="20"/>
      <w:szCs w:val="20"/>
      <w:lang w:val="pt-BR" w:eastAsia="ar-SA" w:bidi="hi-IN"/>
    </w:rPr>
  </w:style>
  <w:style w:type="paragraph" w:styleId="Nivel4">
    <w:name w:val="Nivel 4"/>
    <w:qFormat/>
    <w:pPr>
      <w:widowControl/>
      <w:tabs>
        <w:tab w:val="clear" w:pos="709"/>
        <w:tab w:val="left" w:pos="360" w:leader="none"/>
      </w:tabs>
      <w:suppressAutoHyphens w:val="true"/>
      <w:overflowPunct w:val="true"/>
      <w:bidi w:val="0"/>
      <w:spacing w:lineRule="auto" w:line="276" w:before="120" w:after="120"/>
      <w:ind w:left="2491" w:hanging="0"/>
      <w:jc w:val="both"/>
      <w:textAlignment w:val="baseline"/>
    </w:pPr>
    <w:rPr>
      <w:rFonts w:ascii="Ecofont_Spranq_eco_Sans" w:hAnsi="Ecofont_Spranq_eco_Sans" w:eastAsia="Arial" w:cs="Lohit Devanagari"/>
      <w:color w:val="auto"/>
      <w:kern w:val="2"/>
      <w:sz w:val="20"/>
      <w:szCs w:val="20"/>
      <w:lang w:val="pt-BR" w:eastAsia="ar-SA" w:bidi="hi-IN"/>
    </w:rPr>
  </w:style>
  <w:style w:type="paragraph" w:styleId="Nivel3">
    <w:name w:val="Nivel 3"/>
    <w:qFormat/>
    <w:pPr>
      <w:widowControl/>
      <w:tabs>
        <w:tab w:val="clear" w:pos="709"/>
        <w:tab w:val="left" w:pos="360" w:leader="none"/>
      </w:tabs>
      <w:suppressAutoHyphens w:val="true"/>
      <w:overflowPunct w:val="true"/>
      <w:bidi w:val="0"/>
      <w:spacing w:lineRule="auto" w:line="276" w:before="120" w:after="120"/>
      <w:ind w:left="1922" w:hanging="0"/>
      <w:jc w:val="both"/>
      <w:textAlignment w:val="baseline"/>
    </w:pPr>
    <w:rPr>
      <w:rFonts w:ascii="Ecofont_Spranq_eco_Sans" w:hAnsi="Ecofont_Spranq_eco_Sans" w:eastAsia="Arial" w:cs="Lohit Devanagari"/>
      <w:color w:val="000000"/>
      <w:kern w:val="2"/>
      <w:sz w:val="20"/>
      <w:szCs w:val="20"/>
      <w:lang w:val="pt-BR" w:eastAsia="ar-SA" w:bidi="hi-IN"/>
    </w:rPr>
  </w:style>
  <w:style w:type="paragraph" w:styleId="Nivel11">
    <w:name w:val="Nivel 1"/>
    <w:qFormat/>
    <w:pPr>
      <w:widowControl/>
      <w:tabs>
        <w:tab w:val="clear" w:pos="709"/>
        <w:tab w:val="left" w:pos="360" w:leader="none"/>
      </w:tabs>
      <w:suppressAutoHyphens w:val="true"/>
      <w:overflowPunct w:val="true"/>
      <w:bidi w:val="0"/>
      <w:spacing w:lineRule="auto" w:line="276" w:before="120" w:after="120"/>
      <w:ind w:left="644" w:hanging="432"/>
      <w:jc w:val="both"/>
      <w:textAlignment w:val="baseline"/>
    </w:pPr>
    <w:rPr>
      <w:rFonts w:ascii="Ecofont_Spranq_eco_Sans" w:hAnsi="Ecofont_Spranq_eco_Sans" w:eastAsia="Arial" w:cs="Lohit Devanagari"/>
      <w:b/>
      <w:color w:val="auto"/>
      <w:kern w:val="2"/>
      <w:sz w:val="20"/>
      <w:szCs w:val="20"/>
      <w:lang w:val="pt-BR" w:eastAsia="ar-SA" w:bidi="hi-IN"/>
    </w:rPr>
  </w:style>
  <w:style w:type="paragraph" w:styleId="Nivel2">
    <w:name w:val="Nivel 2"/>
    <w:qFormat/>
    <w:pPr>
      <w:widowControl/>
      <w:suppressAutoHyphens w:val="true"/>
      <w:overflowPunct w:val="true"/>
      <w:bidi w:val="0"/>
      <w:spacing w:lineRule="auto" w:line="276" w:before="120" w:after="120"/>
      <w:jc w:val="both"/>
      <w:textAlignment w:val="baseline"/>
    </w:pPr>
    <w:rPr>
      <w:rFonts w:ascii="Ecofont_Spranq_eco_Sans" w:hAnsi="Ecofont_Spranq_eco_Sans" w:eastAsia="Times New Roman" w:cs="Liberation Serif"/>
      <w:color w:val="00000A"/>
      <w:kern w:val="0"/>
      <w:sz w:val="20"/>
      <w:szCs w:val="20"/>
      <w:lang w:val="pt-BR" w:eastAsia="ar-SA" w:bidi="hi-IN"/>
    </w:rPr>
  </w:style>
  <w:style w:type="paragraph" w:styleId="PargrafodaLista1">
    <w:name w:val="Parágrafo da Lista1"/>
    <w:basedOn w:val="Normal"/>
    <w:qFormat/>
    <w:pPr>
      <w:ind w:left="720" w:hanging="0"/>
    </w:pPr>
    <w:rPr>
      <w:rFonts w:ascii="Ecofont_Spranq_eco_Sans" w:hAnsi="Ecofont_Spranq_eco_Sans" w:eastAsia="Ecofont_Spranq_eco_Sans"/>
      <w:lang w:eastAsia="ar-SA"/>
    </w:rPr>
  </w:style>
  <w:style w:type="paragraph" w:styleId="SombreamentoMdio1nfase31">
    <w:name w:val="Sombreamento Médio 1 - Ênfase 31"/>
    <w:basedOn w:val="Normal"/>
    <w:qFormat/>
    <w:pPr>
      <w:pBdr>
        <w:top w:val="single" w:sz="4" w:space="1" w:color="000080"/>
        <w:left w:val="single" w:sz="4" w:space="4" w:color="000080"/>
        <w:bottom w:val="single" w:sz="4" w:space="1" w:color="000080"/>
        <w:right w:val="single" w:sz="4" w:space="4" w:color="000080"/>
      </w:pBdr>
      <w:shd w:fill="FFFFCC"/>
      <w:spacing w:before="120" w:after="0"/>
      <w:jc w:val="both"/>
    </w:pPr>
    <w:rPr>
      <w:rFonts w:ascii="Ecofont_Spranq_eco_Sans" w:hAnsi="Ecofont_Spranq_eco_Sans" w:eastAsia="Calibri"/>
      <w:i/>
      <w:iCs/>
      <w:color w:val="000000"/>
      <w:lang w:eastAsia="ar-SA"/>
    </w:rPr>
  </w:style>
  <w:style w:type="paragraph" w:styleId="Nivel01">
    <w:name w:val="Nivel_01"/>
    <w:basedOn w:val="Ttulo1"/>
    <w:qFormat/>
    <w:pPr>
      <w:keepNext w:val="true"/>
      <w:keepLines/>
      <w:tabs>
        <w:tab w:val="clear" w:pos="709"/>
        <w:tab w:val="left" w:pos="567" w:leader="none"/>
      </w:tabs>
      <w:spacing w:before="240" w:after="0"/>
      <w:jc w:val="both"/>
    </w:pPr>
    <w:rPr>
      <w:rFonts w:ascii="Ecofont_Spranq_eco_Sans" w:hAnsi="Ecofont_Spranq_eco_Sans" w:eastAsia="Times New Roman"/>
      <w:b/>
      <w:bCs/>
      <w:sz w:val="20"/>
      <w:szCs w:val="20"/>
      <w:lang w:eastAsia="ar-SA"/>
    </w:rPr>
  </w:style>
  <w:style w:type="paragraph" w:styleId="Nivel011">
    <w:name w:val="Nivel 01"/>
    <w:basedOn w:val="Ttulo1"/>
    <w:qFormat/>
    <w:pPr>
      <w:keepNext w:val="true"/>
      <w:keepLines/>
      <w:tabs>
        <w:tab w:val="clear" w:pos="709"/>
        <w:tab w:val="left" w:pos="567" w:leader="none"/>
      </w:tabs>
      <w:spacing w:before="240" w:after="0"/>
      <w:jc w:val="both"/>
    </w:pPr>
    <w:rPr>
      <w:rFonts w:ascii="Ecofont_Spranq_eco_Sans" w:hAnsi="Ecofont_Spranq_eco_Sans" w:eastAsia="Times New Roman"/>
      <w:b/>
      <w:bCs/>
      <w:color w:val="000000"/>
      <w:sz w:val="20"/>
      <w:szCs w:val="20"/>
      <w:lang w:eastAsia="ar-SA"/>
    </w:rPr>
  </w:style>
  <w:style w:type="paragraph" w:styleId="Annotationsubject">
    <w:name w:val="annotation subject"/>
    <w:qFormat/>
    <w:pPr>
      <w:widowControl/>
      <w:suppressAutoHyphens w:val="true"/>
      <w:overflowPunct w:val="true"/>
      <w:bidi w:val="0"/>
      <w:spacing w:before="0" w:after="0"/>
      <w:jc w:val="left"/>
      <w:textAlignment w:val="baseline"/>
    </w:pPr>
    <w:rPr>
      <w:rFonts w:ascii="Liberation Serif" w:hAnsi="Liberation Serif" w:eastAsia="Noto Sans CJK SC" w:cs="Lohit Devanagari"/>
      <w:b/>
      <w:color w:val="auto"/>
      <w:kern w:val="2"/>
      <w:sz w:val="20"/>
      <w:szCs w:val="24"/>
      <w:lang w:val="pt-BR" w:eastAsia="zh-CN" w:bidi="hi-IN"/>
    </w:rPr>
  </w:style>
  <w:style w:type="paragraph" w:styleId="Annotationtext">
    <w:name w:val="annotation text"/>
    <w:basedOn w:val="Normal"/>
    <w:qFormat/>
    <w:pPr/>
    <w:rPr/>
  </w:style>
  <w:style w:type="paragraph" w:styleId="GradeColoridanfase11">
    <w:name w:val="Grade Colorida - Ênfase 11"/>
    <w:basedOn w:val="Normal"/>
    <w:qFormat/>
    <w:pPr>
      <w:pBdr>
        <w:top w:val="single" w:sz="4" w:space="1" w:color="1F497D"/>
        <w:left w:val="single" w:sz="4" w:space="4" w:color="1F497D"/>
        <w:bottom w:val="single" w:sz="4" w:space="1" w:color="1F497D"/>
        <w:right w:val="single" w:sz="4" w:space="4" w:color="1F497D"/>
      </w:pBdr>
      <w:shd w:fill="FFFFCC"/>
      <w:spacing w:before="120" w:after="0"/>
      <w:jc w:val="both"/>
    </w:pPr>
    <w:rPr>
      <w:rFonts w:eastAsia="Times New Roman"/>
      <w:i/>
      <w:iCs/>
      <w:color w:val="000000"/>
      <w:lang w:eastAsia="ar-SA"/>
    </w:rPr>
  </w:style>
  <w:style w:type="paragraph" w:styleId="Citao2">
    <w:name w:val="citação 2"/>
    <w:qFormat/>
    <w:pPr>
      <w:widowControl/>
      <w:pBdr>
        <w:top w:val="single" w:sz="4" w:space="1" w:color="1F497D"/>
        <w:left w:val="single" w:sz="4" w:space="4" w:color="1F497D"/>
        <w:bottom w:val="single" w:sz="4" w:space="1" w:color="1F497D"/>
        <w:right w:val="single" w:sz="4" w:space="4" w:color="1F497D"/>
      </w:pBdr>
      <w:shd w:fill="FFFFCC"/>
      <w:suppressAutoHyphens w:val="true"/>
      <w:overflowPunct w:val="true"/>
      <w:bidi w:val="0"/>
      <w:spacing w:before="120" w:after="0"/>
      <w:jc w:val="both"/>
      <w:textAlignment w:val="baseline"/>
    </w:pPr>
    <w:rPr>
      <w:rFonts w:ascii="Liberation Serif" w:hAnsi="Liberation Serif" w:eastAsia="Calibri" w:cs="Lohit Devanagari"/>
      <w:i/>
      <w:iCs/>
      <w:color w:val="000000"/>
      <w:kern w:val="2"/>
      <w:sz w:val="20"/>
      <w:szCs w:val="20"/>
      <w:lang w:val="pt-BR" w:eastAsia="ar-SA" w:bidi="hi-IN"/>
    </w:rPr>
  </w:style>
  <w:style w:type="paragraph" w:styleId="ListBullet5">
    <w:name w:val="List Bullet 5"/>
    <w:basedOn w:val="Normal"/>
    <w:qFormat/>
    <w:pPr>
      <w:spacing w:before="0" w:after="0"/>
      <w:contextualSpacing/>
    </w:pPr>
    <w:rPr/>
  </w:style>
  <w:style w:type="paragraph" w:styleId="Quote">
    <w:name w:val="Quote"/>
    <w:basedOn w:val="Normal"/>
    <w:qFormat/>
    <w:pPr>
      <w:pBdr>
        <w:top w:val="single" w:sz="4" w:space="1" w:color="1F497D"/>
        <w:left w:val="single" w:sz="4" w:space="4" w:color="1F497D"/>
        <w:bottom w:val="single" w:sz="4" w:space="1" w:color="1F497D"/>
        <w:right w:val="single" w:sz="4" w:space="4" w:color="1F497D"/>
      </w:pBdr>
      <w:shd w:fill="FFFFCC"/>
      <w:spacing w:before="120" w:after="0"/>
      <w:jc w:val="both"/>
    </w:pPr>
    <w:rPr>
      <w:rFonts w:eastAsia="Calibri"/>
      <w:i/>
      <w:iCs/>
      <w:color w:val="000000"/>
      <w:lang w:eastAsia="ar-SA"/>
    </w:rPr>
  </w:style>
  <w:style w:type="paragraph" w:styleId="Nvel2">
    <w:name w:val="Nível 2"/>
    <w:basedOn w:val="Normal"/>
    <w:qFormat/>
    <w:pPr>
      <w:spacing w:before="0" w:after="120"/>
      <w:jc w:val="both"/>
    </w:pPr>
    <w:rPr>
      <w:rFonts w:eastAsia="Times New Roman"/>
      <w:b/>
      <w:szCs w:val="20"/>
      <w:lang w:eastAsia="ar-SA"/>
    </w:rPr>
  </w:style>
  <w:style w:type="paragraph" w:styleId="BalloonText">
    <w:name w:val="Balloon Text"/>
    <w:basedOn w:val="Normal"/>
    <w:qFormat/>
    <w:pPr/>
    <w:rPr>
      <w:rFonts w:ascii="Tahoma" w:hAnsi="Tahoma" w:cs="Tahoma"/>
      <w:sz w:val="16"/>
      <w:szCs w:val="16"/>
      <w:lang w:bidi="ar-SA"/>
    </w:rPr>
  </w:style>
  <w:style w:type="paragraph" w:styleId="NormalWeb">
    <w:name w:val="Normal (Web)"/>
    <w:basedOn w:val="Normal"/>
    <w:qFormat/>
    <w:pPr>
      <w:spacing w:beforeAutospacing="1" w:afterAutospacing="1"/>
    </w:pPr>
    <w:rPr>
      <w:rFonts w:ascii="Times New Roman" w:hAnsi="Times New Roman" w:eastAsia="Times New Roman"/>
      <w:lang w:eastAsia="ar-SA"/>
    </w:rPr>
  </w:style>
  <w:style w:type="paragraph" w:styleId="ListParagraph">
    <w:name w:val="List Paragraph"/>
    <w:basedOn w:val="Normal"/>
    <w:qFormat/>
    <w:pPr>
      <w:spacing w:before="0" w:after="0"/>
      <w:ind w:left="720" w:hanging="0"/>
      <w:contextualSpacing/>
    </w:pPr>
    <w:rPr/>
  </w:style>
  <w:style w:type="paragraph" w:styleId="DocumentMap">
    <w:name w:val="Document Map"/>
    <w:qFormat/>
    <w:pPr>
      <w:widowControl/>
      <w:suppressAutoHyphens w:val="true"/>
      <w:overflowPunct w:val="true"/>
      <w:bidi w:val="0"/>
      <w:spacing w:lineRule="auto" w:line="252" w:before="0" w:after="160"/>
      <w:jc w:val="left"/>
      <w:textAlignment w:val="auto"/>
    </w:pPr>
    <w:rPr>
      <w:rFonts w:ascii="Calibri" w:hAnsi="Calibri" w:eastAsia="Times New Roman" w:cs="Calibri"/>
      <w:color w:val="auto"/>
      <w:kern w:val="2"/>
      <w:sz w:val="22"/>
      <w:szCs w:val="22"/>
      <w:lang w:val="pt-BR" w:eastAsia="pt-BR" w:bidi="ar-SA"/>
    </w:rPr>
  </w:style>
  <w:style w:type="paragraph" w:styleId="Default">
    <w:name w:val="Default"/>
    <w:qFormat/>
    <w:pPr>
      <w:widowControl/>
      <w:suppressAutoHyphens w:val="true"/>
      <w:overflowPunct w:val="true"/>
      <w:bidi w:val="0"/>
      <w:spacing w:before="0" w:after="0"/>
      <w:jc w:val="left"/>
      <w:textAlignment w:val="baseline"/>
    </w:pPr>
    <w:rPr>
      <w:rFonts w:ascii="Liberation Serif" w:hAnsi="Liberation Serif" w:eastAsia="Times New Roman" w:cs="Liberation Serif"/>
      <w:color w:val="000000"/>
      <w:kern w:val="2"/>
      <w:sz w:val="24"/>
      <w:szCs w:val="24"/>
      <w:lang w:val="pt-BR" w:eastAsia="hi-IN" w:bidi="hi-IN"/>
    </w:rPr>
  </w:style>
  <w:style w:type="paragraph" w:styleId="Textbody">
    <w:name w:val="Text body"/>
    <w:qFormat/>
    <w:pPr>
      <w:widowControl/>
      <w:suppressAutoHyphens w:val="true"/>
      <w:overflowPunct w:val="true"/>
      <w:bidi w:val="0"/>
      <w:spacing w:before="0" w:after="120"/>
      <w:jc w:val="left"/>
      <w:textAlignment w:val="baseline"/>
    </w:pPr>
    <w:rPr>
      <w:rFonts w:ascii="Ecofont_Spranq_eco_Sans" w:hAnsi="Ecofont_Spranq_eco_Sans" w:eastAsia="Tahoma" w:cs="Lohit Devanagari"/>
      <w:color w:val="00000A"/>
      <w:kern w:val="2"/>
      <w:sz w:val="20"/>
      <w:szCs w:val="24"/>
      <w:lang w:val="pt-BR" w:eastAsia="ar-SA" w:bidi="hi-IN"/>
    </w:rPr>
  </w:style>
  <w:style w:type="paragraph" w:styleId="Ttulo11">
    <w:name w:val="Título1"/>
    <w:qFormat/>
    <w:pPr>
      <w:keepNext w:val="true"/>
      <w:widowControl/>
      <w:suppressAutoHyphens w:val="true"/>
      <w:overflowPunct w:val="true"/>
      <w:bidi w:val="0"/>
      <w:spacing w:before="240" w:after="120"/>
      <w:jc w:val="left"/>
      <w:textAlignment w:val="baseline"/>
    </w:pPr>
    <w:rPr>
      <w:rFonts w:ascii="Arial" w:hAnsi="Arial" w:eastAsia="Arial" w:cs="Liberation Serif"/>
      <w:color w:val="auto"/>
      <w:kern w:val="2"/>
      <w:sz w:val="28"/>
      <w:szCs w:val="28"/>
      <w:lang w:val="pt-BR" w:eastAsia="hi-IN" w:bidi="hi-IN"/>
    </w:rPr>
  </w:style>
  <w:style w:type="paragraph" w:styleId="LONormal1">
    <w:name w:val="LO-Normal"/>
    <w:qFormat/>
    <w:pPr>
      <w:widowControl/>
      <w:suppressAutoHyphens w:val="true"/>
      <w:overflowPunct w:val="true"/>
      <w:bidi w:val="0"/>
      <w:spacing w:before="0" w:after="0"/>
      <w:jc w:val="left"/>
      <w:textAlignment w:val="baseline"/>
    </w:pPr>
    <w:rPr>
      <w:rFonts w:ascii="Liberation Serif" w:hAnsi="Liberation Serif" w:eastAsia="0" w:cs="Liberation Serif"/>
      <w:color w:val="auto"/>
      <w:kern w:val="2"/>
      <w:sz w:val="24"/>
      <w:szCs w:val="24"/>
      <w:lang w:val="pt-BR" w:eastAsia="hi-IN" w:bidi="hi-IN"/>
    </w:rPr>
  </w:style>
  <w:style w:type="paragraph" w:styleId="Citaes">
    <w:name w:val="Citações"/>
    <w:basedOn w:val="Standard"/>
    <w:qFormat/>
    <w:pPr>
      <w:suppressAutoHyphens w:val="true"/>
      <w:spacing w:before="0" w:after="283"/>
      <w:ind w:left="567" w:right="567" w:hanging="0"/>
    </w:pPr>
    <w:rPr/>
  </w:style>
  <w:style w:type="paragraph" w:styleId="LONormal11">
    <w:name w:val="LO-Normal1"/>
    <w:qFormat/>
    <w:pPr>
      <w:widowControl/>
      <w:suppressAutoHyphens w:val="true"/>
      <w:overflowPunct w:val="true"/>
      <w:bidi w:val="0"/>
      <w:spacing w:before="0" w:after="0"/>
      <w:jc w:val="left"/>
      <w:textAlignment w:val="baseline"/>
    </w:pPr>
    <w:rPr>
      <w:rFonts w:ascii="Liberation Serif" w:hAnsi="Liberation Serif" w:eastAsia="Noto Sans CJK SC" w:cs="Lohit Devanagari"/>
      <w:color w:val="auto"/>
      <w:kern w:val="2"/>
      <w:sz w:val="24"/>
      <w:szCs w:val="24"/>
      <w:lang w:val="pt-BR" w:eastAsia="zh-CN" w:bidi="hi-IN"/>
    </w:rPr>
  </w:style>
  <w:style w:type="paragraph" w:styleId="Calibri">
    <w:name w:val="Calibri"/>
    <w:basedOn w:val="Default"/>
    <w:qFormat/>
    <w:pPr>
      <w:jc w:val="center"/>
    </w:pPr>
    <w:rPr>
      <w:rFonts w:ascii="Calibri" w:hAnsi="Calibri"/>
      <w:sz w:val="16"/>
      <w:szCs w:val="16"/>
    </w:rPr>
  </w:style>
  <w:style w:type="numbering" w:styleId="NoList">
    <w:name w:val="No List"/>
    <w:qFormat/>
  </w:style>
  <w:style w:type="table" w:default="1" w:styleId="TableNormal">
    <w:name w:val="Table Normal"/>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lanalto.gov.br/ccivil_03/LEIS/L6404consol.htm" TargetMode="External"/><Relationship Id="rId3" Type="http://schemas.openxmlformats.org/officeDocument/2006/relationships/hyperlink" Target="http://www.portaldatransparencia.gov.br/ceis" TargetMode="External"/><Relationship Id="rId4" Type="http://schemas.openxmlformats.org/officeDocument/2006/relationships/hyperlink" Target="http://www.cnj.jus.br/improbidade_adm/consultar_requerido.php" TargetMode="Externa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
  <TotalTime>1241</TotalTime>
  <Application>LibreOffice/7.3.7.2$Linux_X86_64 LibreOffice_project/30$Build-2</Application>
  <AppVersion>15.0000</AppVersion>
  <Pages>14</Pages>
  <Words>4618</Words>
  <Characters>26799</Characters>
  <CharactersWithSpaces>31105</CharactersWithSpaces>
  <Paragraphs>215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pt-BR</dc:language>
  <cp:lastModifiedBy/>
  <cp:lastPrinted>2024-06-17T11:10:05Z</cp:lastPrinted>
  <dcterms:modified xsi:type="dcterms:W3CDTF">2024-06-17T14:55:22Z</dcterms:modified>
  <cp:revision>233</cp:revision>
  <dc:subject/>
  <dc:title/>
</cp:coreProperties>
</file>

<file path=docProps/custom.xml><?xml version="1.0" encoding="utf-8"?>
<Properties xmlns="http://schemas.openxmlformats.org/officeDocument/2006/custom-properties" xmlns:vt="http://schemas.openxmlformats.org/officeDocument/2006/docPropsVTypes"/>
</file>